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02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020"/>
      </w:tblGrid>
      <w:tr w:rsidR="007E7B33" w:rsidRPr="00FF5476" w14:paraId="748E2EA8" w14:textId="77777777" w:rsidTr="004773F5">
        <w:tc>
          <w:tcPr>
            <w:tcW w:w="13020" w:type="dxa"/>
            <w:shd w:val="clear" w:color="auto" w:fill="auto"/>
          </w:tcPr>
          <w:p w14:paraId="30D849A6" w14:textId="77777777" w:rsidR="007E7B33" w:rsidRPr="00FF5476" w:rsidRDefault="007E7B33" w:rsidP="00FF5476">
            <w:pPr>
              <w:pStyle w:val="14bldcentr"/>
              <w:rPr>
                <w:rFonts w:cs="Arial"/>
                <w:sz w:val="20"/>
              </w:rPr>
            </w:pPr>
            <w:bookmarkStart w:id="0" w:name="_GoBack"/>
            <w:bookmarkEnd w:id="0"/>
            <w:r w:rsidRPr="00FF5476">
              <w:rPr>
                <w:rFonts w:cs="Arial"/>
                <w:sz w:val="20"/>
              </w:rPr>
              <w:t xml:space="preserve">ADDENDUM </w:t>
            </w:r>
            <w:r w:rsidR="00FF5476" w:rsidRPr="00FF5476">
              <w:rPr>
                <w:rFonts w:cs="Arial"/>
                <w:sz w:val="20"/>
              </w:rPr>
              <w:t>THREE,</w:t>
            </w:r>
            <w:r w:rsidRPr="00FF5476">
              <w:rPr>
                <w:rFonts w:cs="Arial"/>
                <w:sz w:val="20"/>
              </w:rPr>
              <w:t xml:space="preserve"> QUESTIONS and ANSWERS</w:t>
            </w:r>
            <w:r w:rsidR="00FF5476" w:rsidRPr="00FF5476">
              <w:rPr>
                <w:rFonts w:cs="Arial"/>
                <w:sz w:val="20"/>
              </w:rPr>
              <w:t xml:space="preserve"> ROUND TWO</w:t>
            </w:r>
          </w:p>
        </w:tc>
      </w:tr>
    </w:tbl>
    <w:p w14:paraId="0DA0DC91" w14:textId="77777777" w:rsidR="000A7F6D" w:rsidRPr="00FF5476" w:rsidRDefault="000A7F6D" w:rsidP="002E0890">
      <w:pPr>
        <w:pStyle w:val="14bldcentr"/>
        <w:rPr>
          <w:rFonts w:cs="Arial"/>
          <w:sz w:val="20"/>
        </w:rPr>
      </w:pPr>
    </w:p>
    <w:p w14:paraId="6F3A7220" w14:textId="77777777" w:rsidR="007124F4" w:rsidRPr="00FF5476" w:rsidRDefault="007124F4" w:rsidP="002E0890">
      <w:pPr>
        <w:pStyle w:val="Level1Body"/>
        <w:rPr>
          <w:rFonts w:cs="Arial"/>
          <w:sz w:val="20"/>
        </w:rPr>
      </w:pPr>
    </w:p>
    <w:p w14:paraId="30393275" w14:textId="77777777" w:rsidR="007124F4" w:rsidRPr="00FF5476" w:rsidRDefault="007124F4" w:rsidP="002E0890">
      <w:pPr>
        <w:pStyle w:val="Level1Body"/>
        <w:rPr>
          <w:rFonts w:cs="Arial"/>
          <w:sz w:val="20"/>
        </w:rPr>
      </w:pPr>
    </w:p>
    <w:p w14:paraId="1D517DA9" w14:textId="77777777" w:rsidR="007124F4" w:rsidRPr="00FF5476" w:rsidRDefault="007124F4" w:rsidP="002E0890">
      <w:pPr>
        <w:pStyle w:val="Level1Body"/>
        <w:rPr>
          <w:rFonts w:cs="Arial"/>
          <w:sz w:val="20"/>
        </w:rPr>
      </w:pPr>
      <w:r w:rsidRPr="00FF5476">
        <w:rPr>
          <w:rFonts w:cs="Arial"/>
          <w:sz w:val="20"/>
        </w:rPr>
        <w:t>D</w:t>
      </w:r>
      <w:r w:rsidR="00BD5697" w:rsidRPr="00FF5476">
        <w:rPr>
          <w:rFonts w:cs="Arial"/>
          <w:sz w:val="20"/>
        </w:rPr>
        <w:t>ate</w:t>
      </w:r>
      <w:r w:rsidRPr="00FF5476">
        <w:rPr>
          <w:rFonts w:cs="Arial"/>
          <w:sz w:val="20"/>
        </w:rPr>
        <w:t>:</w:t>
      </w:r>
      <w:r w:rsidRPr="00FF5476">
        <w:rPr>
          <w:rFonts w:cs="Arial"/>
          <w:sz w:val="20"/>
        </w:rPr>
        <w:tab/>
      </w:r>
      <w:r w:rsidR="00244B40">
        <w:rPr>
          <w:rFonts w:cs="Arial"/>
          <w:sz w:val="20"/>
        </w:rPr>
        <w:tab/>
        <w:t>June 6, 2022</w:t>
      </w:r>
    </w:p>
    <w:p w14:paraId="5A4E76FD" w14:textId="77777777" w:rsidR="007124F4" w:rsidRPr="00FF5476" w:rsidRDefault="007124F4" w:rsidP="002E0890">
      <w:pPr>
        <w:pStyle w:val="Level1Body"/>
        <w:rPr>
          <w:rFonts w:cs="Arial"/>
          <w:sz w:val="20"/>
        </w:rPr>
      </w:pPr>
    </w:p>
    <w:p w14:paraId="0F37A367" w14:textId="77777777" w:rsidR="007124F4" w:rsidRPr="00FF5476" w:rsidRDefault="007124F4" w:rsidP="002E0890">
      <w:pPr>
        <w:pStyle w:val="Level1Body"/>
        <w:rPr>
          <w:rFonts w:cs="Arial"/>
          <w:sz w:val="20"/>
        </w:rPr>
      </w:pPr>
      <w:r w:rsidRPr="00FF5476">
        <w:rPr>
          <w:rFonts w:cs="Arial"/>
          <w:sz w:val="20"/>
        </w:rPr>
        <w:t>T</w:t>
      </w:r>
      <w:r w:rsidR="00BD5697" w:rsidRPr="00FF5476">
        <w:rPr>
          <w:rFonts w:cs="Arial"/>
          <w:sz w:val="20"/>
        </w:rPr>
        <w:t>o</w:t>
      </w:r>
      <w:r w:rsidRPr="00FF5476">
        <w:rPr>
          <w:rFonts w:cs="Arial"/>
          <w:sz w:val="20"/>
        </w:rPr>
        <w:t>:</w:t>
      </w:r>
      <w:r w:rsidRPr="00FF5476">
        <w:rPr>
          <w:rFonts w:cs="Arial"/>
          <w:sz w:val="20"/>
        </w:rPr>
        <w:tab/>
      </w:r>
      <w:r w:rsidRPr="00FF5476">
        <w:rPr>
          <w:rFonts w:cs="Arial"/>
          <w:sz w:val="20"/>
        </w:rPr>
        <w:tab/>
        <w:t xml:space="preserve">All </w:t>
      </w:r>
      <w:r w:rsidR="00C2659A" w:rsidRPr="00FF5476">
        <w:rPr>
          <w:rFonts w:cs="Arial"/>
          <w:sz w:val="20"/>
        </w:rPr>
        <w:t xml:space="preserve">Bidders </w:t>
      </w:r>
    </w:p>
    <w:p w14:paraId="64845193" w14:textId="77777777" w:rsidR="007124F4" w:rsidRPr="00FF5476" w:rsidRDefault="007124F4" w:rsidP="002E0890">
      <w:pPr>
        <w:pStyle w:val="Level1Body"/>
        <w:rPr>
          <w:rFonts w:cs="Arial"/>
          <w:sz w:val="20"/>
        </w:rPr>
      </w:pPr>
    </w:p>
    <w:p w14:paraId="433A6638" w14:textId="77777777" w:rsidR="007124F4" w:rsidRPr="00FF5476" w:rsidRDefault="007124F4" w:rsidP="00FF5476">
      <w:pPr>
        <w:pStyle w:val="Level1Body"/>
        <w:rPr>
          <w:rFonts w:cs="Arial"/>
          <w:sz w:val="20"/>
        </w:rPr>
      </w:pPr>
      <w:r w:rsidRPr="00FF5476">
        <w:rPr>
          <w:rFonts w:cs="Arial"/>
          <w:sz w:val="20"/>
        </w:rPr>
        <w:t>F</w:t>
      </w:r>
      <w:r w:rsidR="00BD5697" w:rsidRPr="00FF5476">
        <w:rPr>
          <w:rFonts w:cs="Arial"/>
          <w:sz w:val="20"/>
        </w:rPr>
        <w:t>rom</w:t>
      </w:r>
      <w:r w:rsidRPr="00FF5476">
        <w:rPr>
          <w:rFonts w:cs="Arial"/>
          <w:sz w:val="20"/>
        </w:rPr>
        <w:t>:</w:t>
      </w:r>
      <w:r w:rsidRPr="00FF5476">
        <w:rPr>
          <w:rFonts w:cs="Arial"/>
          <w:sz w:val="20"/>
        </w:rPr>
        <w:tab/>
      </w:r>
      <w:bookmarkStart w:id="1" w:name="Text4"/>
      <w:r w:rsidR="0025668F" w:rsidRPr="00FF5476">
        <w:rPr>
          <w:rFonts w:cs="Arial"/>
          <w:sz w:val="20"/>
        </w:rPr>
        <w:tab/>
      </w:r>
      <w:bookmarkEnd w:id="1"/>
      <w:r w:rsidR="00FF5476" w:rsidRPr="00FF5476">
        <w:rPr>
          <w:rFonts w:cs="Arial"/>
          <w:sz w:val="20"/>
        </w:rPr>
        <w:t>Greg Walklin</w:t>
      </w:r>
    </w:p>
    <w:p w14:paraId="327048D0" w14:textId="77777777" w:rsidR="00FF5476" w:rsidRPr="00FF5476" w:rsidRDefault="00FF5476" w:rsidP="00FF5476">
      <w:pPr>
        <w:pStyle w:val="Level1Body"/>
        <w:rPr>
          <w:rFonts w:cs="Arial"/>
          <w:sz w:val="20"/>
        </w:rPr>
      </w:pPr>
      <w:r w:rsidRPr="00FF5476">
        <w:rPr>
          <w:rFonts w:cs="Arial"/>
          <w:sz w:val="20"/>
        </w:rPr>
        <w:tab/>
      </w:r>
      <w:r w:rsidRPr="00FF5476">
        <w:rPr>
          <w:rFonts w:cs="Arial"/>
          <w:sz w:val="20"/>
        </w:rPr>
        <w:tab/>
        <w:t>Director of Procurement and Grants</w:t>
      </w:r>
    </w:p>
    <w:p w14:paraId="18A61E92" w14:textId="77777777" w:rsidR="002E4E3B" w:rsidRPr="00FF5476" w:rsidRDefault="002E4E3B" w:rsidP="002E0890">
      <w:pPr>
        <w:pStyle w:val="Level1Body"/>
        <w:rPr>
          <w:rFonts w:cs="Arial"/>
          <w:sz w:val="20"/>
        </w:rPr>
      </w:pPr>
    </w:p>
    <w:p w14:paraId="37EF73B2" w14:textId="77777777" w:rsidR="007124F4" w:rsidRPr="00FF5476" w:rsidRDefault="005B1348" w:rsidP="005B1348">
      <w:pPr>
        <w:pStyle w:val="Level1Body"/>
        <w:tabs>
          <w:tab w:val="left" w:pos="90"/>
        </w:tabs>
        <w:ind w:left="1440" w:hanging="1440"/>
        <w:rPr>
          <w:rFonts w:cs="Arial"/>
          <w:sz w:val="20"/>
        </w:rPr>
      </w:pPr>
      <w:r w:rsidRPr="00FF5476">
        <w:rPr>
          <w:rFonts w:cs="Arial"/>
          <w:sz w:val="20"/>
        </w:rPr>
        <w:t>RE:</w:t>
      </w:r>
      <w:r w:rsidRPr="00FF5476">
        <w:rPr>
          <w:rFonts w:cs="Arial"/>
          <w:sz w:val="20"/>
        </w:rPr>
        <w:tab/>
      </w:r>
      <w:r w:rsidR="00E4723E" w:rsidRPr="00FF5476">
        <w:rPr>
          <w:rFonts w:cs="Arial"/>
          <w:sz w:val="20"/>
        </w:rPr>
        <w:t xml:space="preserve">Addendum for </w:t>
      </w:r>
      <w:r w:rsidR="009E2F65" w:rsidRPr="00FF5476">
        <w:rPr>
          <w:rFonts w:cs="Arial"/>
          <w:sz w:val="20"/>
        </w:rPr>
        <w:t>Request for Proposal</w:t>
      </w:r>
      <w:r w:rsidR="009E2F65" w:rsidRPr="00FF5476">
        <w:rPr>
          <w:rFonts w:cs="Arial"/>
          <w:color w:val="FF0000"/>
          <w:sz w:val="20"/>
        </w:rPr>
        <w:t xml:space="preserve"> </w:t>
      </w:r>
      <w:r w:rsidR="00AB1852" w:rsidRPr="00FF5476">
        <w:rPr>
          <w:rFonts w:cs="Arial"/>
          <w:sz w:val="20"/>
        </w:rPr>
        <w:t xml:space="preserve">Number </w:t>
      </w:r>
      <w:r w:rsidR="00FF5476" w:rsidRPr="00FF5476">
        <w:rPr>
          <w:rFonts w:cs="Arial"/>
          <w:sz w:val="20"/>
        </w:rPr>
        <w:t>112209-O3</w:t>
      </w:r>
    </w:p>
    <w:p w14:paraId="78365764" w14:textId="77777777" w:rsidR="006A5040" w:rsidRPr="00FF5476" w:rsidRDefault="006A5040" w:rsidP="006A5040">
      <w:pPr>
        <w:pStyle w:val="Level3Body"/>
        <w:rPr>
          <w:rFonts w:cs="Arial"/>
          <w:sz w:val="20"/>
        </w:rPr>
      </w:pPr>
      <w:r w:rsidRPr="00FF5476">
        <w:rPr>
          <w:rFonts w:cs="Arial"/>
          <w:sz w:val="20"/>
        </w:rPr>
        <w:t xml:space="preserve">to be opened </w:t>
      </w:r>
      <w:r w:rsidR="00FF5476" w:rsidRPr="00FF5476">
        <w:rPr>
          <w:rFonts w:cs="Arial"/>
          <w:sz w:val="20"/>
        </w:rPr>
        <w:t>July 1, 2022</w:t>
      </w:r>
      <w:r w:rsidR="000A7F6D" w:rsidRPr="00FF5476">
        <w:rPr>
          <w:rFonts w:cs="Arial"/>
          <w:sz w:val="20"/>
        </w:rPr>
        <w:t xml:space="preserve"> </w:t>
      </w:r>
      <w:r w:rsidRPr="00FF5476">
        <w:rPr>
          <w:rFonts w:cs="Arial"/>
          <w:sz w:val="20"/>
        </w:rPr>
        <w:t>at 2:00 p.m. Central Time</w:t>
      </w:r>
    </w:p>
    <w:p w14:paraId="57C38E77" w14:textId="77777777" w:rsidR="007124F4" w:rsidRPr="00FF5476" w:rsidRDefault="007124F4" w:rsidP="006A5040">
      <w:pPr>
        <w:pStyle w:val="Level3Body"/>
        <w:rPr>
          <w:rFonts w:cs="Arial"/>
          <w:sz w:val="20"/>
        </w:rPr>
      </w:pPr>
    </w:p>
    <w:p w14:paraId="043D3DE1" w14:textId="77777777" w:rsidR="00FF5476" w:rsidRDefault="00FF5476" w:rsidP="002E4E3B">
      <w:pPr>
        <w:pStyle w:val="Level1Body"/>
        <w:rPr>
          <w:rFonts w:cs="Arial"/>
          <w:sz w:val="20"/>
        </w:rPr>
      </w:pPr>
    </w:p>
    <w:p w14:paraId="3C7BA1A0" w14:textId="77777777" w:rsidR="00FF5476" w:rsidRDefault="00FF5476" w:rsidP="00FF5476">
      <w:pPr>
        <w:pStyle w:val="Heading4"/>
        <w:rPr>
          <w:rFonts w:cs="Arial"/>
          <w:sz w:val="20"/>
          <w:szCs w:val="20"/>
        </w:rPr>
      </w:pPr>
    </w:p>
    <w:p w14:paraId="6DF45C80" w14:textId="77777777" w:rsidR="004773F5" w:rsidRDefault="004773F5" w:rsidP="00FF5476">
      <w:pPr>
        <w:pStyle w:val="Heading4"/>
        <w:rPr>
          <w:rFonts w:cs="Arial"/>
          <w:sz w:val="20"/>
          <w:szCs w:val="20"/>
        </w:rPr>
      </w:pPr>
    </w:p>
    <w:p w14:paraId="528D917C" w14:textId="77777777" w:rsidR="00FF5476" w:rsidRPr="00FF5476" w:rsidRDefault="00FF5476" w:rsidP="00FF5476">
      <w:pPr>
        <w:pStyle w:val="Heading4"/>
        <w:rPr>
          <w:rFonts w:cs="Arial"/>
          <w:sz w:val="20"/>
          <w:szCs w:val="20"/>
        </w:rPr>
      </w:pPr>
      <w:r w:rsidRPr="00FF5476">
        <w:rPr>
          <w:rFonts w:cs="Arial"/>
          <w:sz w:val="20"/>
          <w:szCs w:val="20"/>
        </w:rPr>
        <w:t>Questions and Answers</w:t>
      </w:r>
    </w:p>
    <w:p w14:paraId="1C132CF9" w14:textId="77777777" w:rsidR="00FF5476" w:rsidRPr="00FF5476" w:rsidRDefault="00FF5476" w:rsidP="00FF5476">
      <w:pPr>
        <w:pStyle w:val="Level1Body"/>
        <w:rPr>
          <w:rFonts w:cs="Arial"/>
          <w:sz w:val="20"/>
        </w:rPr>
      </w:pPr>
    </w:p>
    <w:p w14:paraId="26B107A7" w14:textId="77777777" w:rsidR="00FF5476" w:rsidRPr="00FF5476" w:rsidRDefault="00FF5476" w:rsidP="00FF5476">
      <w:pPr>
        <w:pStyle w:val="Level1Body"/>
        <w:rPr>
          <w:rFonts w:cs="Arial"/>
          <w:sz w:val="20"/>
        </w:rPr>
      </w:pPr>
      <w:r w:rsidRPr="00FF5476">
        <w:rPr>
          <w:rFonts w:cs="Arial"/>
          <w:sz w:val="20"/>
        </w:rPr>
        <w:t>Following are the questions submitted and answers provided</w:t>
      </w:r>
      <w:r w:rsidR="00244B40">
        <w:rPr>
          <w:rFonts w:cs="Arial"/>
          <w:sz w:val="20"/>
        </w:rPr>
        <w:t>, during the second round,</w:t>
      </w:r>
      <w:r w:rsidR="00165A8C">
        <w:rPr>
          <w:rFonts w:cs="Arial"/>
          <w:sz w:val="20"/>
        </w:rPr>
        <w:t xml:space="preserve"> </w:t>
      </w:r>
      <w:r w:rsidRPr="00FF5476">
        <w:rPr>
          <w:rFonts w:cs="Arial"/>
          <w:sz w:val="20"/>
        </w:rPr>
        <w:t>for the above</w:t>
      </w:r>
      <w:r w:rsidR="00244B40">
        <w:rPr>
          <w:rFonts w:cs="Arial"/>
          <w:sz w:val="20"/>
        </w:rPr>
        <w:t>-</w:t>
      </w:r>
      <w:r w:rsidRPr="00FF5476">
        <w:rPr>
          <w:rFonts w:cs="Arial"/>
          <w:sz w:val="20"/>
        </w:rPr>
        <w:t>mentioned Request for Proposal. The questions and answers are to be considered as part of the Request for Proposal.  It is the Bidder’s responsibility to check the State Purchasing Bureau website for all addenda or amendments.</w:t>
      </w:r>
    </w:p>
    <w:p w14:paraId="707F582C" w14:textId="77777777" w:rsidR="00FF5476" w:rsidRPr="00FF5476" w:rsidRDefault="00FF5476" w:rsidP="00FF5476">
      <w:pPr>
        <w:pStyle w:val="Level1Body"/>
        <w:rPr>
          <w:rFonts w:cs="Arial"/>
          <w:sz w:val="20"/>
        </w:rPr>
      </w:pPr>
    </w:p>
    <w:p w14:paraId="60668D43" w14:textId="77777777" w:rsidR="00FF5476" w:rsidRPr="00FF5476" w:rsidRDefault="00FF5476" w:rsidP="00FF5476">
      <w:pPr>
        <w:pStyle w:val="Level1Body"/>
        <w:rPr>
          <w:rFonts w:cs="Arial"/>
          <w:sz w:val="20"/>
        </w:rPr>
      </w:pPr>
    </w:p>
    <w:p w14:paraId="59463827" w14:textId="77777777" w:rsidR="00FF5476" w:rsidRDefault="00FF5476" w:rsidP="002E4E3B">
      <w:pPr>
        <w:pStyle w:val="Level1Body"/>
        <w:rPr>
          <w:rFonts w:cs="Arial"/>
          <w:sz w:val="20"/>
        </w:rPr>
      </w:pPr>
    </w:p>
    <w:p w14:paraId="75E510D3" w14:textId="77777777" w:rsidR="007124F4" w:rsidRPr="00FF5476" w:rsidRDefault="005145B4" w:rsidP="002E4E3B">
      <w:pPr>
        <w:pStyle w:val="Level1Body"/>
        <w:rPr>
          <w:rFonts w:cs="Arial"/>
          <w:sz w:val="20"/>
        </w:rPr>
        <w:sectPr w:rsidR="007124F4" w:rsidRPr="00FF5476" w:rsidSect="00FF5476">
          <w:footerReference w:type="default" r:id="rId11"/>
          <w:footerReference w:type="first" r:id="rId12"/>
          <w:endnotePr>
            <w:numFmt w:val="decimal"/>
          </w:endnotePr>
          <w:pgSz w:w="15840" w:h="12240" w:orient="landscape"/>
          <w:pgMar w:top="1440" w:right="1440" w:bottom="1440" w:left="1440" w:header="1440" w:footer="288" w:gutter="0"/>
          <w:cols w:space="720"/>
          <w:noEndnote/>
          <w:titlePg/>
          <w:docGrid w:linePitch="299"/>
        </w:sectPr>
      </w:pPr>
      <w:r w:rsidRPr="00FF5476">
        <w:rPr>
          <w:rFonts w:cs="Arial"/>
          <w:noProof/>
          <w:sz w:val="20"/>
        </w:rPr>
        <mc:AlternateContent>
          <mc:Choice Requires="wps">
            <w:drawing>
              <wp:anchor distT="0" distB="0" distL="114300" distR="114300" simplePos="0" relativeHeight="251657728" behindDoc="0" locked="1" layoutInCell="1" allowOverlap="1" wp14:anchorId="5415E8D2" wp14:editId="679194CE">
                <wp:simplePos x="0" y="0"/>
                <wp:positionH relativeFrom="margin">
                  <wp:align>right</wp:align>
                </wp:positionH>
                <wp:positionV relativeFrom="paragraph">
                  <wp:posOffset>-1494155</wp:posOffset>
                </wp:positionV>
                <wp:extent cx="8228965" cy="111760"/>
                <wp:effectExtent l="0" t="0" r="635"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8965" cy="1117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A56DB" id="Rectangle 2" o:spid="_x0000_s1026" style="position:absolute;margin-left:596.75pt;margin-top:-117.65pt;width:647.95pt;height:8.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" fillcolor="black" stroked="f" strokeweight="0">
                <w10:wrap anchorx="margin"/>
                <w10:anchorlock/>
              </v:rect>
            </w:pict>
          </mc:Fallback>
        </mc:AlternateContent>
      </w:r>
    </w:p>
    <w:tbl>
      <w:tblPr>
        <w:tblStyle w:val="TableGrid"/>
        <w:tblW w:w="5000" w:type="pct"/>
        <w:tblLook w:val="04A0" w:firstRow="1" w:lastRow="0" w:firstColumn="1" w:lastColumn="0" w:noHBand="0" w:noVBand="1"/>
      </w:tblPr>
      <w:tblGrid>
        <w:gridCol w:w="1017"/>
        <w:gridCol w:w="1628"/>
        <w:gridCol w:w="1295"/>
        <w:gridCol w:w="2903"/>
        <w:gridCol w:w="3083"/>
      </w:tblGrid>
      <w:tr w:rsidR="000D0B51" w:rsidRPr="00FF5476" w14:paraId="23C183FF" w14:textId="77777777" w:rsidTr="007120FA">
        <w:tc>
          <w:tcPr>
            <w:tcW w:w="512" w:type="pct"/>
            <w:shd w:val="clear" w:color="auto" w:fill="E6E6E6" w:themeFill="background1" w:themeFillShade="E6"/>
          </w:tcPr>
          <w:p w14:paraId="6FC354A1" w14:textId="77777777" w:rsidR="009E2F65" w:rsidRPr="00FF5476" w:rsidRDefault="00EE3A98" w:rsidP="00495BF8">
            <w:pPr>
              <w:pStyle w:val="Level1Body"/>
              <w:jc w:val="center"/>
              <w:rPr>
                <w:rFonts w:cs="Arial"/>
                <w:sz w:val="20"/>
                <w:u w:val="single"/>
              </w:rPr>
            </w:pPr>
            <w:r w:rsidRPr="00FF5476">
              <w:rPr>
                <w:rFonts w:cs="Arial"/>
                <w:sz w:val="20"/>
                <w:lang w:val="en-CA"/>
              </w:rPr>
              <w:lastRenderedPageBreak/>
              <w:fldChar w:fldCharType="begin"/>
            </w:r>
            <w:r w:rsidRPr="00FF5476">
              <w:rPr>
                <w:rFonts w:cs="Arial"/>
                <w:sz w:val="20"/>
                <w:lang w:val="en-CA"/>
              </w:rPr>
              <w:instrText xml:space="preserve"> SEQ CHAPTER \h \r 1</w:instrText>
            </w:r>
            <w:r w:rsidRPr="00FF5476">
              <w:rPr>
                <w:rFonts w:cs="Arial"/>
                <w:sz w:val="20"/>
                <w:lang w:val="en-CA"/>
              </w:rPr>
              <w:fldChar w:fldCharType="end"/>
            </w:r>
            <w:r w:rsidR="009E2F65" w:rsidRPr="00FF5476">
              <w:rPr>
                <w:rFonts w:cs="Arial"/>
                <w:sz w:val="20"/>
                <w:u w:val="single"/>
              </w:rPr>
              <w:t>Question Number</w:t>
            </w:r>
          </w:p>
        </w:tc>
        <w:tc>
          <w:tcPr>
            <w:tcW w:w="820" w:type="pct"/>
            <w:shd w:val="clear" w:color="auto" w:fill="E6E6E6" w:themeFill="background1" w:themeFillShade="E6"/>
          </w:tcPr>
          <w:p w14:paraId="33928692" w14:textId="77777777" w:rsidR="009E2F65" w:rsidRPr="00FF5476" w:rsidRDefault="009E2F65" w:rsidP="00495BF8">
            <w:pPr>
              <w:pStyle w:val="Level1Body"/>
              <w:jc w:val="center"/>
              <w:rPr>
                <w:rFonts w:cs="Arial"/>
                <w:sz w:val="20"/>
                <w:u w:val="single"/>
              </w:rPr>
            </w:pPr>
            <w:r w:rsidRPr="00FF5476">
              <w:rPr>
                <w:rFonts w:cs="Arial"/>
                <w:sz w:val="20"/>
                <w:u w:val="single"/>
              </w:rPr>
              <w:t>RFP</w:t>
            </w:r>
          </w:p>
          <w:p w14:paraId="1741600A" w14:textId="77777777" w:rsidR="009E2F65" w:rsidRPr="00FF5476" w:rsidRDefault="009E2F65" w:rsidP="00495BF8">
            <w:pPr>
              <w:pStyle w:val="Level1Body"/>
              <w:jc w:val="center"/>
              <w:rPr>
                <w:rFonts w:cs="Arial"/>
                <w:sz w:val="20"/>
                <w:u w:val="single"/>
              </w:rPr>
            </w:pPr>
            <w:r w:rsidRPr="00FF5476">
              <w:rPr>
                <w:rFonts w:cs="Arial"/>
                <w:sz w:val="20"/>
                <w:u w:val="single"/>
              </w:rPr>
              <w:t>Section</w:t>
            </w:r>
          </w:p>
          <w:p w14:paraId="420E20AC" w14:textId="77777777" w:rsidR="009E2F65" w:rsidRPr="00FF5476" w:rsidRDefault="009E2F65" w:rsidP="00495BF8">
            <w:pPr>
              <w:pStyle w:val="Level1Body"/>
              <w:jc w:val="center"/>
              <w:rPr>
                <w:rFonts w:cs="Arial"/>
                <w:sz w:val="20"/>
                <w:u w:val="single"/>
              </w:rPr>
            </w:pPr>
            <w:r w:rsidRPr="00FF5476">
              <w:rPr>
                <w:rFonts w:cs="Arial"/>
                <w:sz w:val="20"/>
                <w:u w:val="single"/>
              </w:rPr>
              <w:t>Reference</w:t>
            </w:r>
          </w:p>
        </w:tc>
        <w:tc>
          <w:tcPr>
            <w:tcW w:w="652" w:type="pct"/>
            <w:shd w:val="clear" w:color="auto" w:fill="E6E6E6" w:themeFill="background1" w:themeFillShade="E6"/>
          </w:tcPr>
          <w:p w14:paraId="33083370" w14:textId="77777777" w:rsidR="009E2F65" w:rsidRPr="00FF5476" w:rsidRDefault="009E2F65" w:rsidP="00495BF8">
            <w:pPr>
              <w:pStyle w:val="Level1Body"/>
              <w:jc w:val="center"/>
              <w:rPr>
                <w:rFonts w:cs="Arial"/>
                <w:sz w:val="20"/>
                <w:u w:val="single"/>
              </w:rPr>
            </w:pPr>
            <w:r w:rsidRPr="00FF5476">
              <w:rPr>
                <w:rFonts w:cs="Arial"/>
                <w:sz w:val="20"/>
                <w:u w:val="single"/>
              </w:rPr>
              <w:t>RFP</w:t>
            </w:r>
          </w:p>
          <w:p w14:paraId="5CAA1811" w14:textId="77777777" w:rsidR="009E2F65" w:rsidRPr="00FF5476" w:rsidRDefault="009E2F65" w:rsidP="00495BF8">
            <w:pPr>
              <w:pStyle w:val="Level1Body"/>
              <w:jc w:val="center"/>
              <w:rPr>
                <w:rFonts w:cs="Arial"/>
                <w:sz w:val="20"/>
                <w:u w:val="single"/>
              </w:rPr>
            </w:pPr>
            <w:r w:rsidRPr="00FF5476">
              <w:rPr>
                <w:rFonts w:cs="Arial"/>
                <w:sz w:val="20"/>
                <w:u w:val="single"/>
              </w:rPr>
              <w:t>Page Number</w:t>
            </w:r>
          </w:p>
        </w:tc>
        <w:tc>
          <w:tcPr>
            <w:tcW w:w="1463" w:type="pct"/>
            <w:shd w:val="clear" w:color="auto" w:fill="E6E6E6" w:themeFill="background1" w:themeFillShade="E6"/>
          </w:tcPr>
          <w:p w14:paraId="046A2FDA" w14:textId="77777777" w:rsidR="009E2F65" w:rsidRPr="00FF5476" w:rsidRDefault="009E2F65" w:rsidP="00495BF8">
            <w:pPr>
              <w:pStyle w:val="Level1Body"/>
              <w:jc w:val="center"/>
              <w:rPr>
                <w:rFonts w:cs="Arial"/>
                <w:sz w:val="20"/>
                <w:u w:val="single"/>
              </w:rPr>
            </w:pPr>
            <w:r w:rsidRPr="00FF5476">
              <w:rPr>
                <w:rFonts w:cs="Arial"/>
                <w:sz w:val="20"/>
                <w:u w:val="single"/>
              </w:rPr>
              <w:t>Question</w:t>
            </w:r>
          </w:p>
        </w:tc>
        <w:tc>
          <w:tcPr>
            <w:tcW w:w="1552" w:type="pct"/>
            <w:shd w:val="clear" w:color="auto" w:fill="E6E6E6" w:themeFill="background1" w:themeFillShade="E6"/>
          </w:tcPr>
          <w:p w14:paraId="78BA7258" w14:textId="77777777" w:rsidR="009E2F65" w:rsidRPr="00FF5476" w:rsidRDefault="009E2F65" w:rsidP="00495BF8">
            <w:pPr>
              <w:pStyle w:val="Level1Body"/>
              <w:jc w:val="center"/>
              <w:rPr>
                <w:rFonts w:cs="Arial"/>
                <w:sz w:val="20"/>
                <w:u w:val="single"/>
              </w:rPr>
            </w:pPr>
            <w:r w:rsidRPr="00FF5476">
              <w:rPr>
                <w:rFonts w:cs="Arial"/>
                <w:sz w:val="20"/>
                <w:u w:val="single"/>
              </w:rPr>
              <w:t>State Response</w:t>
            </w:r>
          </w:p>
        </w:tc>
      </w:tr>
      <w:tr w:rsidR="0081334D" w:rsidRPr="00FF5476" w14:paraId="51D9929A" w14:textId="77777777" w:rsidTr="004736C5">
        <w:tc>
          <w:tcPr>
            <w:tcW w:w="512" w:type="pct"/>
          </w:tcPr>
          <w:p w14:paraId="51F18203" w14:textId="77777777" w:rsidR="00F26B9E" w:rsidRPr="00FF5476" w:rsidRDefault="00F26B9E" w:rsidP="00F26B9E">
            <w:pPr>
              <w:pStyle w:val="Level1Body"/>
              <w:numPr>
                <w:ilvl w:val="0"/>
                <w:numId w:val="42"/>
              </w:numPr>
              <w:rPr>
                <w:rFonts w:cs="Arial"/>
                <w:sz w:val="20"/>
              </w:rPr>
            </w:pPr>
          </w:p>
        </w:tc>
        <w:tc>
          <w:tcPr>
            <w:tcW w:w="820" w:type="pct"/>
            <w:vAlign w:val="center"/>
          </w:tcPr>
          <w:p w14:paraId="391585A8" w14:textId="77777777" w:rsidR="00F26B9E" w:rsidRPr="00FF5476" w:rsidRDefault="00F26B9E" w:rsidP="00AE6CF7">
            <w:pPr>
              <w:jc w:val="left"/>
              <w:rPr>
                <w:rFonts w:cs="Arial"/>
                <w:spacing w:val="-1"/>
                <w:sz w:val="20"/>
                <w:szCs w:val="20"/>
              </w:rPr>
            </w:pPr>
          </w:p>
        </w:tc>
        <w:tc>
          <w:tcPr>
            <w:tcW w:w="652" w:type="pct"/>
            <w:vAlign w:val="center"/>
          </w:tcPr>
          <w:p w14:paraId="09B54C56" w14:textId="77777777" w:rsidR="00F26B9E" w:rsidRPr="00FF5476" w:rsidRDefault="00F26B9E" w:rsidP="00AE6CF7">
            <w:pPr>
              <w:jc w:val="left"/>
              <w:rPr>
                <w:rStyle w:val="Glossary-Bold"/>
                <w:rFonts w:cs="Arial"/>
                <w:b w:val="0"/>
                <w:sz w:val="20"/>
                <w:szCs w:val="20"/>
              </w:rPr>
            </w:pPr>
          </w:p>
        </w:tc>
        <w:tc>
          <w:tcPr>
            <w:tcW w:w="1463" w:type="pct"/>
          </w:tcPr>
          <w:p w14:paraId="0B3E2B9A" w14:textId="77777777" w:rsidR="00F26B9E" w:rsidRPr="00FF5476" w:rsidRDefault="00F26B9E" w:rsidP="004736C5">
            <w:pPr>
              <w:jc w:val="left"/>
              <w:rPr>
                <w:rStyle w:val="Glossary-Bold"/>
                <w:rFonts w:cs="Arial"/>
                <w:b w:val="0"/>
                <w:sz w:val="20"/>
                <w:szCs w:val="20"/>
              </w:rPr>
            </w:pPr>
            <w:r w:rsidRPr="00FF5476">
              <w:rPr>
                <w:rFonts w:cs="Arial"/>
                <w:sz w:val="20"/>
                <w:szCs w:val="20"/>
              </w:rPr>
              <w:t>Will the State require the incumbent MCO to provide a member’s new MCO with historical managed care claims and authorization details for transitioning members? Will MLTC provide claims and auth data to a member’s new MCO related to their FFS experience?</w:t>
            </w:r>
          </w:p>
        </w:tc>
        <w:tc>
          <w:tcPr>
            <w:tcW w:w="1552" w:type="pct"/>
          </w:tcPr>
          <w:p w14:paraId="6B1B7ACD" w14:textId="77777777" w:rsidR="003306ED" w:rsidRPr="004736C5" w:rsidRDefault="003306ED" w:rsidP="003306ED">
            <w:pPr>
              <w:jc w:val="left"/>
              <w:rPr>
                <w:rFonts w:cs="Arial"/>
                <w:color w:val="000000"/>
                <w:sz w:val="20"/>
                <w:szCs w:val="20"/>
              </w:rPr>
            </w:pPr>
            <w:r w:rsidRPr="004736C5">
              <w:rPr>
                <w:rFonts w:cs="Arial"/>
                <w:color w:val="000000"/>
                <w:sz w:val="20"/>
                <w:szCs w:val="20"/>
              </w:rPr>
              <w:t>Yes, incumbent MCOs will be required to provide claims and authorization details for transitioning members. This will be vetted during implementation.</w:t>
            </w:r>
          </w:p>
          <w:p w14:paraId="1842EBBB" w14:textId="77777777" w:rsidR="003306ED" w:rsidRPr="004736C5" w:rsidRDefault="003306ED" w:rsidP="003306ED">
            <w:pPr>
              <w:jc w:val="left"/>
              <w:rPr>
                <w:rFonts w:cs="Arial"/>
                <w:color w:val="000000"/>
                <w:sz w:val="20"/>
                <w:szCs w:val="20"/>
              </w:rPr>
            </w:pPr>
          </w:p>
          <w:p w14:paraId="5A5A3614" w14:textId="1C42254F" w:rsidR="00F26B9E" w:rsidRPr="003306ED" w:rsidRDefault="003306ED" w:rsidP="003306ED">
            <w:pPr>
              <w:pStyle w:val="Level1Body"/>
              <w:jc w:val="left"/>
              <w:rPr>
                <w:rFonts w:cs="Arial"/>
                <w:sz w:val="20"/>
              </w:rPr>
            </w:pPr>
            <w:r w:rsidRPr="004736C5">
              <w:rPr>
                <w:rFonts w:cs="Arial"/>
                <w:color w:val="auto"/>
                <w:sz w:val="20"/>
              </w:rPr>
              <w:t>MLTC will provide claims and auth</w:t>
            </w:r>
            <w:r w:rsidR="00F629CC">
              <w:rPr>
                <w:rFonts w:cs="Arial"/>
                <w:color w:val="auto"/>
                <w:sz w:val="20"/>
              </w:rPr>
              <w:t>orization</w:t>
            </w:r>
            <w:r w:rsidRPr="004736C5">
              <w:rPr>
                <w:rFonts w:cs="Arial"/>
                <w:color w:val="auto"/>
                <w:sz w:val="20"/>
              </w:rPr>
              <w:t xml:space="preserve"> data to new MCOs related to FFS experience. This will be vetted during implementation.</w:t>
            </w:r>
          </w:p>
        </w:tc>
      </w:tr>
      <w:tr w:rsidR="0081334D" w:rsidRPr="00FF5476" w14:paraId="32A1D263" w14:textId="77777777" w:rsidTr="007120FA">
        <w:tc>
          <w:tcPr>
            <w:tcW w:w="512" w:type="pct"/>
          </w:tcPr>
          <w:p w14:paraId="22DA0905" w14:textId="77777777" w:rsidR="00F26B9E" w:rsidRPr="00FF5476" w:rsidRDefault="00F26B9E" w:rsidP="00F26B9E">
            <w:pPr>
              <w:pStyle w:val="Level1Body"/>
              <w:numPr>
                <w:ilvl w:val="0"/>
                <w:numId w:val="42"/>
              </w:numPr>
              <w:rPr>
                <w:rFonts w:cs="Arial"/>
                <w:sz w:val="20"/>
              </w:rPr>
            </w:pPr>
          </w:p>
        </w:tc>
        <w:tc>
          <w:tcPr>
            <w:tcW w:w="820" w:type="pct"/>
            <w:vAlign w:val="center"/>
          </w:tcPr>
          <w:p w14:paraId="2198CDF3" w14:textId="77777777" w:rsidR="00F26B9E" w:rsidRPr="00FF5476" w:rsidRDefault="00F26B9E" w:rsidP="00AE6CF7">
            <w:pPr>
              <w:jc w:val="left"/>
              <w:rPr>
                <w:rFonts w:cs="Arial"/>
                <w:spacing w:val="-1"/>
                <w:sz w:val="20"/>
                <w:szCs w:val="20"/>
              </w:rPr>
            </w:pPr>
          </w:p>
        </w:tc>
        <w:tc>
          <w:tcPr>
            <w:tcW w:w="652" w:type="pct"/>
            <w:vAlign w:val="center"/>
          </w:tcPr>
          <w:p w14:paraId="7E21A18A" w14:textId="77777777" w:rsidR="00F26B9E" w:rsidRPr="00FF5476" w:rsidRDefault="00F26B9E" w:rsidP="00AE6CF7">
            <w:pPr>
              <w:jc w:val="left"/>
              <w:rPr>
                <w:rStyle w:val="Glossary-Bold"/>
                <w:rFonts w:cs="Arial"/>
                <w:b w:val="0"/>
                <w:sz w:val="20"/>
                <w:szCs w:val="20"/>
              </w:rPr>
            </w:pPr>
          </w:p>
        </w:tc>
        <w:tc>
          <w:tcPr>
            <w:tcW w:w="1463" w:type="pct"/>
            <w:vAlign w:val="center"/>
          </w:tcPr>
          <w:p w14:paraId="6B3F2929" w14:textId="77777777" w:rsidR="00F26B9E" w:rsidRPr="00FF5476" w:rsidRDefault="00F26B9E" w:rsidP="00AE6CF7">
            <w:pPr>
              <w:jc w:val="left"/>
              <w:rPr>
                <w:rStyle w:val="Glossary-Bold"/>
                <w:rFonts w:cs="Arial"/>
                <w:b w:val="0"/>
                <w:sz w:val="20"/>
                <w:szCs w:val="20"/>
              </w:rPr>
            </w:pPr>
            <w:r w:rsidRPr="00FF5476">
              <w:rPr>
                <w:rFonts w:cs="Arial"/>
                <w:sz w:val="20"/>
                <w:szCs w:val="20"/>
              </w:rPr>
              <w:t>The released addendums state: “This addendum will become part of the proposal and should be acknowledged with the Request for Proposal.” Please clarify how and where addendums should be acknowledged within the Request for Proposal.</w:t>
            </w:r>
          </w:p>
        </w:tc>
        <w:tc>
          <w:tcPr>
            <w:tcW w:w="1552" w:type="pct"/>
          </w:tcPr>
          <w:p w14:paraId="711AF7D0" w14:textId="77777777" w:rsidR="00F26B9E" w:rsidRPr="003306ED" w:rsidRDefault="00244B40" w:rsidP="00244B40">
            <w:pPr>
              <w:pStyle w:val="Level1Body"/>
              <w:jc w:val="left"/>
              <w:rPr>
                <w:rFonts w:cs="Arial"/>
                <w:sz w:val="20"/>
              </w:rPr>
            </w:pPr>
            <w:r>
              <w:rPr>
                <w:rFonts w:cs="Arial"/>
                <w:sz w:val="20"/>
              </w:rPr>
              <w:t>Addenda do not need to be explicitly referenced in any</w:t>
            </w:r>
            <w:r w:rsidR="00DB5BE7">
              <w:rPr>
                <w:rFonts w:cs="Arial"/>
                <w:sz w:val="20"/>
              </w:rPr>
              <w:t xml:space="preserve"> bidder</w:t>
            </w:r>
            <w:r>
              <w:rPr>
                <w:rFonts w:cs="Arial"/>
                <w:sz w:val="20"/>
              </w:rPr>
              <w:t xml:space="preserve"> response, but bidders should ensure they are responding to the RFP</w:t>
            </w:r>
            <w:r w:rsidR="00DB5BE7">
              <w:rPr>
                <w:rFonts w:cs="Arial"/>
                <w:sz w:val="20"/>
              </w:rPr>
              <w:t>—</w:t>
            </w:r>
            <w:r>
              <w:rPr>
                <w:rFonts w:cs="Arial"/>
                <w:sz w:val="20"/>
              </w:rPr>
              <w:t>as amended by any addenda.</w:t>
            </w:r>
          </w:p>
        </w:tc>
      </w:tr>
      <w:tr w:rsidR="0081334D" w:rsidRPr="00FF5476" w14:paraId="45B2A0F9" w14:textId="77777777" w:rsidTr="007120FA">
        <w:tc>
          <w:tcPr>
            <w:tcW w:w="512" w:type="pct"/>
          </w:tcPr>
          <w:p w14:paraId="0510E221" w14:textId="77777777" w:rsidR="00F26B9E" w:rsidRPr="00FF5476" w:rsidRDefault="00F26B9E" w:rsidP="00F26B9E">
            <w:pPr>
              <w:pStyle w:val="Level1Body"/>
              <w:numPr>
                <w:ilvl w:val="0"/>
                <w:numId w:val="42"/>
              </w:numPr>
              <w:rPr>
                <w:rFonts w:cs="Arial"/>
                <w:sz w:val="20"/>
              </w:rPr>
            </w:pPr>
          </w:p>
        </w:tc>
        <w:tc>
          <w:tcPr>
            <w:tcW w:w="820" w:type="pct"/>
            <w:vAlign w:val="center"/>
          </w:tcPr>
          <w:p w14:paraId="73BFCE5F" w14:textId="77777777" w:rsidR="00F26B9E" w:rsidRPr="00FF5476" w:rsidRDefault="00F26B9E" w:rsidP="00AE6CF7">
            <w:pPr>
              <w:jc w:val="left"/>
              <w:rPr>
                <w:rFonts w:cs="Arial"/>
                <w:spacing w:val="-1"/>
                <w:sz w:val="20"/>
                <w:szCs w:val="20"/>
              </w:rPr>
            </w:pPr>
          </w:p>
        </w:tc>
        <w:tc>
          <w:tcPr>
            <w:tcW w:w="652" w:type="pct"/>
            <w:vAlign w:val="center"/>
          </w:tcPr>
          <w:p w14:paraId="205D102B" w14:textId="77777777" w:rsidR="00F26B9E" w:rsidRPr="00FF5476" w:rsidRDefault="00F26B9E" w:rsidP="00AE6CF7">
            <w:pPr>
              <w:jc w:val="left"/>
              <w:rPr>
                <w:rStyle w:val="Glossary-Bold"/>
                <w:rFonts w:cs="Arial"/>
                <w:b w:val="0"/>
                <w:sz w:val="20"/>
                <w:szCs w:val="20"/>
              </w:rPr>
            </w:pPr>
          </w:p>
        </w:tc>
        <w:tc>
          <w:tcPr>
            <w:tcW w:w="1463" w:type="pct"/>
          </w:tcPr>
          <w:p w14:paraId="2D420CA0" w14:textId="77777777" w:rsidR="00F26B9E" w:rsidRPr="00FF5476" w:rsidRDefault="00F26B9E" w:rsidP="00AE6CF7">
            <w:pPr>
              <w:jc w:val="left"/>
              <w:rPr>
                <w:rStyle w:val="Glossary-Bold"/>
                <w:rFonts w:cs="Arial"/>
                <w:b w:val="0"/>
                <w:sz w:val="20"/>
                <w:szCs w:val="20"/>
              </w:rPr>
            </w:pPr>
            <w:r w:rsidRPr="00FF5476">
              <w:rPr>
                <w:rFonts w:cs="Arial"/>
                <w:sz w:val="20"/>
                <w:szCs w:val="20"/>
              </w:rPr>
              <w:t>Please confirm that initial enrollment period associated with a 7/1/2023 go-live date will be 18 mos. and then move to an annual calendar year-based Open Enrollment period in November 2024 in line with OE schedule defined in the RFP.</w:t>
            </w:r>
          </w:p>
        </w:tc>
        <w:tc>
          <w:tcPr>
            <w:tcW w:w="1552" w:type="pct"/>
          </w:tcPr>
          <w:p w14:paraId="59EB2925" w14:textId="77777777" w:rsidR="00911FEA" w:rsidRPr="003306ED" w:rsidRDefault="00911FEA" w:rsidP="00911FEA">
            <w:pPr>
              <w:spacing w:after="160" w:line="259" w:lineRule="auto"/>
              <w:jc w:val="left"/>
              <w:rPr>
                <w:rFonts w:cs="Arial"/>
                <w:sz w:val="20"/>
                <w:szCs w:val="20"/>
              </w:rPr>
            </w:pPr>
            <w:r w:rsidRPr="003306ED">
              <w:rPr>
                <w:rFonts w:cs="Arial"/>
                <w:sz w:val="20"/>
                <w:szCs w:val="20"/>
              </w:rPr>
              <w:t>DHHS intends to align the contract periods to the calendar year; therefore, with the July 1, 2023 start date the first contract period would be truncated from the start date to</w:t>
            </w:r>
            <w:r w:rsidR="00054415">
              <w:rPr>
                <w:rFonts w:cs="Arial"/>
                <w:sz w:val="20"/>
                <w:szCs w:val="20"/>
              </w:rPr>
              <w:t xml:space="preserve"> </w:t>
            </w:r>
            <w:r w:rsidRPr="003306ED">
              <w:rPr>
                <w:rFonts w:cs="Arial"/>
                <w:sz w:val="20"/>
                <w:szCs w:val="20"/>
              </w:rPr>
              <w:t>December 31, 2023.</w:t>
            </w:r>
          </w:p>
          <w:p w14:paraId="2D96542C" w14:textId="77777777" w:rsidR="00911FEA" w:rsidRPr="003306ED" w:rsidRDefault="00911FEA" w:rsidP="00911FEA">
            <w:pPr>
              <w:spacing w:after="160" w:line="259" w:lineRule="auto"/>
              <w:jc w:val="left"/>
              <w:rPr>
                <w:rFonts w:cs="Arial"/>
                <w:sz w:val="20"/>
                <w:szCs w:val="20"/>
              </w:rPr>
            </w:pPr>
          </w:p>
          <w:p w14:paraId="7B27ECC1" w14:textId="77777777" w:rsidR="00F26B9E" w:rsidRPr="003306ED" w:rsidRDefault="00911FEA" w:rsidP="00911FEA">
            <w:pPr>
              <w:pStyle w:val="Level1Body"/>
              <w:jc w:val="left"/>
              <w:rPr>
                <w:rFonts w:cs="Arial"/>
                <w:sz w:val="20"/>
              </w:rPr>
            </w:pPr>
            <w:r w:rsidRPr="003306ED">
              <w:rPr>
                <w:rFonts w:cs="Arial"/>
                <w:color w:val="auto"/>
                <w:sz w:val="20"/>
              </w:rPr>
              <w:t xml:space="preserve">The state plans at this time to allow for an open enrollment period in November </w:t>
            </w:r>
            <w:r w:rsidR="003306ED" w:rsidRPr="003306ED">
              <w:rPr>
                <w:rFonts w:cs="Arial"/>
                <w:color w:val="auto"/>
                <w:sz w:val="20"/>
              </w:rPr>
              <w:t>20</w:t>
            </w:r>
            <w:r w:rsidRPr="003306ED">
              <w:rPr>
                <w:rFonts w:cs="Arial"/>
                <w:color w:val="auto"/>
                <w:sz w:val="20"/>
              </w:rPr>
              <w:t xml:space="preserve">23 for the first full contract year.  </w:t>
            </w:r>
          </w:p>
        </w:tc>
      </w:tr>
      <w:tr w:rsidR="0081334D" w:rsidRPr="00FF5476" w14:paraId="4B96BBAB" w14:textId="77777777" w:rsidTr="007120FA">
        <w:tc>
          <w:tcPr>
            <w:tcW w:w="512" w:type="pct"/>
          </w:tcPr>
          <w:p w14:paraId="70D649D8" w14:textId="77777777" w:rsidR="00F26B9E" w:rsidRPr="00FF5476" w:rsidRDefault="00F26B9E" w:rsidP="00F26B9E">
            <w:pPr>
              <w:pStyle w:val="Level1Body"/>
              <w:numPr>
                <w:ilvl w:val="0"/>
                <w:numId w:val="42"/>
              </w:numPr>
              <w:rPr>
                <w:rFonts w:cs="Arial"/>
                <w:sz w:val="20"/>
              </w:rPr>
            </w:pPr>
          </w:p>
        </w:tc>
        <w:tc>
          <w:tcPr>
            <w:tcW w:w="820" w:type="pct"/>
            <w:vAlign w:val="center"/>
          </w:tcPr>
          <w:p w14:paraId="67DBD80E" w14:textId="77777777" w:rsidR="00F26B9E" w:rsidRPr="00FF5476" w:rsidRDefault="00F26B9E" w:rsidP="00AE6CF7">
            <w:pPr>
              <w:jc w:val="left"/>
              <w:rPr>
                <w:rFonts w:cs="Arial"/>
                <w:spacing w:val="-1"/>
                <w:sz w:val="20"/>
                <w:szCs w:val="20"/>
              </w:rPr>
            </w:pPr>
          </w:p>
        </w:tc>
        <w:tc>
          <w:tcPr>
            <w:tcW w:w="652" w:type="pct"/>
            <w:vAlign w:val="center"/>
          </w:tcPr>
          <w:p w14:paraId="77FC8333" w14:textId="77777777" w:rsidR="00F26B9E" w:rsidRPr="00FF5476" w:rsidRDefault="00F26B9E" w:rsidP="00AE6CF7">
            <w:pPr>
              <w:jc w:val="left"/>
              <w:rPr>
                <w:rStyle w:val="Glossary-Bold"/>
                <w:rFonts w:cs="Arial"/>
                <w:b w:val="0"/>
                <w:sz w:val="20"/>
                <w:szCs w:val="20"/>
              </w:rPr>
            </w:pPr>
          </w:p>
        </w:tc>
        <w:tc>
          <w:tcPr>
            <w:tcW w:w="1463" w:type="pct"/>
            <w:vAlign w:val="center"/>
          </w:tcPr>
          <w:p w14:paraId="2D422DDF" w14:textId="77777777" w:rsidR="00F26B9E" w:rsidRPr="00FF5476" w:rsidRDefault="00F26B9E" w:rsidP="00AE6CF7">
            <w:pPr>
              <w:jc w:val="left"/>
              <w:rPr>
                <w:rStyle w:val="Glossary-Bold"/>
                <w:rFonts w:cs="Arial"/>
                <w:b w:val="0"/>
                <w:sz w:val="20"/>
                <w:szCs w:val="20"/>
              </w:rPr>
            </w:pPr>
            <w:r w:rsidRPr="00FF5476">
              <w:rPr>
                <w:rFonts w:cs="Arial"/>
                <w:sz w:val="20"/>
                <w:szCs w:val="20"/>
              </w:rPr>
              <w:t>Please confirm that FFS claims broker services can have distinct branding apart from the MCO’s Heritage Health program.</w:t>
            </w:r>
          </w:p>
        </w:tc>
        <w:tc>
          <w:tcPr>
            <w:tcW w:w="1552" w:type="pct"/>
          </w:tcPr>
          <w:p w14:paraId="5EE67EAE" w14:textId="77777777" w:rsidR="009E30CC" w:rsidRDefault="009E30CC" w:rsidP="00AE6CF7">
            <w:pPr>
              <w:pStyle w:val="Level1Body"/>
              <w:jc w:val="left"/>
              <w:rPr>
                <w:rFonts w:cs="Arial"/>
                <w:sz w:val="20"/>
              </w:rPr>
            </w:pPr>
            <w:r>
              <w:rPr>
                <w:rFonts w:cs="Arial"/>
                <w:sz w:val="20"/>
              </w:rPr>
              <w:t>Yes, FFS claims broker services can have a distinct branding apart from the MCO’s Heritage Health program.</w:t>
            </w:r>
          </w:p>
        </w:tc>
      </w:tr>
      <w:tr w:rsidR="0081334D" w:rsidRPr="00FF5476" w14:paraId="63249259" w14:textId="77777777" w:rsidTr="00AE6CF7">
        <w:tc>
          <w:tcPr>
            <w:tcW w:w="512" w:type="pct"/>
          </w:tcPr>
          <w:p w14:paraId="70AA5C85" w14:textId="77777777" w:rsidR="00F26B9E" w:rsidRPr="00FF5476" w:rsidRDefault="00F26B9E" w:rsidP="00F26B9E">
            <w:pPr>
              <w:pStyle w:val="Level1Body"/>
              <w:numPr>
                <w:ilvl w:val="0"/>
                <w:numId w:val="42"/>
              </w:numPr>
              <w:rPr>
                <w:rFonts w:cs="Arial"/>
                <w:sz w:val="20"/>
              </w:rPr>
            </w:pPr>
          </w:p>
        </w:tc>
        <w:tc>
          <w:tcPr>
            <w:tcW w:w="820" w:type="pct"/>
          </w:tcPr>
          <w:p w14:paraId="52AC4C82" w14:textId="77777777" w:rsidR="00F26B9E" w:rsidRPr="00FF5476" w:rsidRDefault="00F26B9E" w:rsidP="00AE6CF7">
            <w:pPr>
              <w:jc w:val="left"/>
              <w:rPr>
                <w:rStyle w:val="Glossary-Bold"/>
                <w:rFonts w:cs="Arial"/>
                <w:b w:val="0"/>
                <w:sz w:val="20"/>
                <w:szCs w:val="20"/>
              </w:rPr>
            </w:pPr>
            <w:r w:rsidRPr="00FF5476">
              <w:rPr>
                <w:rFonts w:cs="Arial"/>
                <w:spacing w:val="-1"/>
                <w:sz w:val="20"/>
                <w:szCs w:val="20"/>
              </w:rPr>
              <w:t xml:space="preserve">Throughout </w:t>
            </w:r>
            <w:r w:rsidRPr="00FF5476">
              <w:rPr>
                <w:rFonts w:cs="Arial"/>
                <w:sz w:val="20"/>
                <w:szCs w:val="20"/>
              </w:rPr>
              <w:t>RFP</w:t>
            </w:r>
          </w:p>
        </w:tc>
        <w:tc>
          <w:tcPr>
            <w:tcW w:w="652" w:type="pct"/>
          </w:tcPr>
          <w:p w14:paraId="36FFEA2C" w14:textId="77777777" w:rsidR="00F26B9E" w:rsidRPr="00FF5476" w:rsidRDefault="00F26B9E" w:rsidP="00AE6CF7">
            <w:pPr>
              <w:jc w:val="left"/>
              <w:rPr>
                <w:rStyle w:val="Glossary-Bold"/>
                <w:rFonts w:cs="Arial"/>
                <w:b w:val="0"/>
                <w:sz w:val="20"/>
                <w:szCs w:val="20"/>
              </w:rPr>
            </w:pPr>
            <w:r w:rsidRPr="00FF5476">
              <w:rPr>
                <w:rStyle w:val="Glossary-Bold"/>
                <w:rFonts w:cs="Arial"/>
                <w:b w:val="0"/>
                <w:sz w:val="20"/>
                <w:szCs w:val="20"/>
              </w:rPr>
              <w:t>Page 19, and 129</w:t>
            </w:r>
          </w:p>
        </w:tc>
        <w:tc>
          <w:tcPr>
            <w:tcW w:w="1463" w:type="pct"/>
            <w:vAlign w:val="center"/>
          </w:tcPr>
          <w:p w14:paraId="12C776C0" w14:textId="77777777" w:rsidR="00F26B9E" w:rsidRDefault="00F26B9E" w:rsidP="00AE6CF7">
            <w:pPr>
              <w:jc w:val="left"/>
              <w:rPr>
                <w:rStyle w:val="Glossary-Bold"/>
                <w:rFonts w:cs="Arial"/>
                <w:b w:val="0"/>
                <w:sz w:val="20"/>
                <w:szCs w:val="20"/>
              </w:rPr>
            </w:pPr>
            <w:r w:rsidRPr="00FF5476">
              <w:rPr>
                <w:rStyle w:val="Glossary-Bold"/>
                <w:rFonts w:cs="Arial"/>
                <w:b w:val="0"/>
                <w:sz w:val="20"/>
                <w:szCs w:val="20"/>
              </w:rPr>
              <w:t>On page 19 the QAPI Acronym is listed as Quality Assurance and Process Improvement; however, on page 129 and throughout the RFP document it is referenced as Quality Assessment and Performance Improvement Plan (QAPI). Please confirm that the language should be Quality Assessment and Process Improvement</w:t>
            </w:r>
          </w:p>
          <w:p w14:paraId="09235249" w14:textId="77777777" w:rsidR="00FA3BF6" w:rsidRDefault="00FA3BF6" w:rsidP="00AE6CF7">
            <w:pPr>
              <w:jc w:val="left"/>
              <w:rPr>
                <w:rStyle w:val="Glossary-Bold"/>
                <w:rFonts w:cs="Arial"/>
                <w:b w:val="0"/>
                <w:sz w:val="20"/>
                <w:szCs w:val="20"/>
              </w:rPr>
            </w:pPr>
          </w:p>
          <w:p w14:paraId="2B186647" w14:textId="77777777" w:rsidR="00F629CC" w:rsidRPr="00FF5476" w:rsidRDefault="00F629CC" w:rsidP="00AE6CF7">
            <w:pPr>
              <w:jc w:val="left"/>
              <w:rPr>
                <w:rStyle w:val="Glossary-Bold"/>
                <w:rFonts w:cs="Arial"/>
                <w:b w:val="0"/>
                <w:sz w:val="20"/>
                <w:szCs w:val="20"/>
              </w:rPr>
            </w:pPr>
          </w:p>
        </w:tc>
        <w:tc>
          <w:tcPr>
            <w:tcW w:w="1552" w:type="pct"/>
          </w:tcPr>
          <w:p w14:paraId="62188EA1" w14:textId="77777777" w:rsidR="002A2BA5" w:rsidRDefault="00172DB1" w:rsidP="00172DB1">
            <w:pPr>
              <w:pStyle w:val="Level1Body"/>
              <w:jc w:val="left"/>
              <w:rPr>
                <w:rFonts w:cs="Arial"/>
                <w:sz w:val="20"/>
              </w:rPr>
            </w:pPr>
            <w:r>
              <w:rPr>
                <w:rFonts w:cs="Arial"/>
                <w:sz w:val="20"/>
              </w:rPr>
              <w:t>“</w:t>
            </w:r>
            <w:r w:rsidR="002A2BA5">
              <w:rPr>
                <w:rFonts w:cs="Arial"/>
                <w:sz w:val="20"/>
              </w:rPr>
              <w:t>QAPI</w:t>
            </w:r>
            <w:r>
              <w:rPr>
                <w:rFonts w:cs="Arial"/>
                <w:sz w:val="20"/>
              </w:rPr>
              <w:t xml:space="preserve"> – Quality Assurance and Performance Improvement Committee”</w:t>
            </w:r>
            <w:r w:rsidR="002A2BA5">
              <w:rPr>
                <w:rFonts w:cs="Arial"/>
                <w:sz w:val="20"/>
              </w:rPr>
              <w:t xml:space="preserve"> in the Acronym List </w:t>
            </w:r>
            <w:r w:rsidR="00244B40">
              <w:rPr>
                <w:rFonts w:cs="Arial"/>
                <w:sz w:val="20"/>
              </w:rPr>
              <w:t xml:space="preserve">is hereby </w:t>
            </w:r>
            <w:r>
              <w:rPr>
                <w:rFonts w:cs="Arial"/>
                <w:sz w:val="20"/>
              </w:rPr>
              <w:t>amended</w:t>
            </w:r>
            <w:r w:rsidR="00244B40">
              <w:rPr>
                <w:rFonts w:cs="Arial"/>
                <w:sz w:val="20"/>
              </w:rPr>
              <w:t xml:space="preserve"> to </w:t>
            </w:r>
            <w:r w:rsidR="002A2BA5">
              <w:rPr>
                <w:rFonts w:cs="Arial"/>
                <w:sz w:val="20"/>
              </w:rPr>
              <w:t>read</w:t>
            </w:r>
            <w:r>
              <w:rPr>
                <w:rFonts w:cs="Arial"/>
                <w:sz w:val="20"/>
              </w:rPr>
              <w:t xml:space="preserve"> “QAPI - </w:t>
            </w:r>
            <w:r w:rsidR="002A2BA5">
              <w:rPr>
                <w:rFonts w:cs="Arial"/>
                <w:sz w:val="20"/>
              </w:rPr>
              <w:t>Quality Assessment and Performance Improvement.</w:t>
            </w:r>
            <w:r>
              <w:rPr>
                <w:rFonts w:cs="Arial"/>
                <w:sz w:val="20"/>
              </w:rPr>
              <w:t>”</w:t>
            </w:r>
          </w:p>
        </w:tc>
      </w:tr>
      <w:tr w:rsidR="00F26B9E" w:rsidRPr="00FF5476" w14:paraId="20310DE1" w14:textId="77777777" w:rsidTr="00F26B9E">
        <w:tc>
          <w:tcPr>
            <w:tcW w:w="5000" w:type="pct"/>
            <w:gridSpan w:val="5"/>
            <w:shd w:val="clear" w:color="auto" w:fill="D9D9D9" w:themeFill="background1" w:themeFillShade="D9"/>
          </w:tcPr>
          <w:p w14:paraId="0D0F54B3" w14:textId="77777777" w:rsidR="00F26B9E" w:rsidRPr="00F26B9E" w:rsidRDefault="00F26B9E" w:rsidP="00AE6CF7">
            <w:pPr>
              <w:jc w:val="center"/>
              <w:rPr>
                <w:rFonts w:cs="Arial"/>
                <w:b/>
                <w:sz w:val="20"/>
                <w:szCs w:val="20"/>
              </w:rPr>
            </w:pPr>
            <w:r w:rsidRPr="00F26B9E">
              <w:rPr>
                <w:rFonts w:cs="Arial"/>
                <w:b/>
                <w:sz w:val="20"/>
                <w:szCs w:val="20"/>
              </w:rPr>
              <w:t>Section V – Project Description and Scope of Work</w:t>
            </w:r>
          </w:p>
        </w:tc>
      </w:tr>
      <w:tr w:rsidR="0081334D" w:rsidRPr="00FF5476" w14:paraId="0CD0A5DF" w14:textId="77777777" w:rsidTr="00AE6CF7">
        <w:tc>
          <w:tcPr>
            <w:tcW w:w="512" w:type="pct"/>
          </w:tcPr>
          <w:p w14:paraId="14EE22B8" w14:textId="77777777" w:rsidR="00F26B9E" w:rsidRPr="00FF5476" w:rsidRDefault="00F26B9E" w:rsidP="00F26B9E">
            <w:pPr>
              <w:pStyle w:val="Level1Body"/>
              <w:numPr>
                <w:ilvl w:val="0"/>
                <w:numId w:val="42"/>
              </w:numPr>
              <w:rPr>
                <w:rFonts w:cs="Arial"/>
                <w:sz w:val="20"/>
              </w:rPr>
            </w:pPr>
          </w:p>
        </w:tc>
        <w:tc>
          <w:tcPr>
            <w:tcW w:w="820" w:type="pct"/>
          </w:tcPr>
          <w:p w14:paraId="0EB6A63E" w14:textId="77777777" w:rsidR="00F26B9E" w:rsidRPr="00FF5476" w:rsidRDefault="00F26B9E" w:rsidP="00AE6CF7">
            <w:pPr>
              <w:jc w:val="left"/>
              <w:rPr>
                <w:rStyle w:val="Glossary-Bold"/>
                <w:rFonts w:cs="Arial"/>
                <w:b w:val="0"/>
                <w:sz w:val="20"/>
                <w:szCs w:val="20"/>
              </w:rPr>
            </w:pPr>
            <w:r w:rsidRPr="00FF5476">
              <w:rPr>
                <w:rStyle w:val="Glossary-Bold"/>
                <w:rFonts w:cs="Arial"/>
                <w:b w:val="0"/>
                <w:sz w:val="20"/>
                <w:szCs w:val="20"/>
              </w:rPr>
              <w:t xml:space="preserve">Section </w:t>
            </w:r>
            <w:r w:rsidR="007120FA">
              <w:rPr>
                <w:rStyle w:val="Glossary-Bold"/>
                <w:rFonts w:cs="Arial"/>
                <w:b w:val="0"/>
                <w:sz w:val="20"/>
                <w:szCs w:val="20"/>
              </w:rPr>
              <w:t>V.</w:t>
            </w:r>
            <w:r w:rsidRPr="00FF5476">
              <w:rPr>
                <w:rStyle w:val="Glossary-Bold"/>
                <w:rFonts w:cs="Arial"/>
                <w:b w:val="0"/>
                <w:sz w:val="20"/>
                <w:szCs w:val="20"/>
              </w:rPr>
              <w:t>C.7</w:t>
            </w:r>
            <w:r w:rsidR="007120FA">
              <w:rPr>
                <w:rStyle w:val="Glossary-Bold"/>
                <w:rFonts w:cs="Arial"/>
                <w:b w:val="0"/>
                <w:sz w:val="20"/>
                <w:szCs w:val="20"/>
              </w:rPr>
              <w:t xml:space="preserve"> – Participation in the Nebraska Health Information Initiative</w:t>
            </w:r>
          </w:p>
        </w:tc>
        <w:tc>
          <w:tcPr>
            <w:tcW w:w="652" w:type="pct"/>
          </w:tcPr>
          <w:p w14:paraId="1014513F" w14:textId="77777777" w:rsidR="00F26B9E" w:rsidRPr="00FF5476" w:rsidRDefault="00F26B9E" w:rsidP="00AE6CF7">
            <w:pPr>
              <w:jc w:val="left"/>
              <w:rPr>
                <w:rStyle w:val="Glossary-Bold"/>
                <w:rFonts w:cs="Arial"/>
                <w:b w:val="0"/>
                <w:sz w:val="20"/>
                <w:szCs w:val="20"/>
              </w:rPr>
            </w:pPr>
            <w:r w:rsidRPr="00FF5476">
              <w:rPr>
                <w:rStyle w:val="Glossary-Bold"/>
                <w:rFonts w:cs="Arial"/>
                <w:b w:val="0"/>
                <w:sz w:val="20"/>
                <w:szCs w:val="20"/>
              </w:rPr>
              <w:t>35</w:t>
            </w:r>
          </w:p>
        </w:tc>
        <w:tc>
          <w:tcPr>
            <w:tcW w:w="1463" w:type="pct"/>
            <w:vAlign w:val="center"/>
          </w:tcPr>
          <w:p w14:paraId="767DA49E" w14:textId="77777777" w:rsidR="00F26B9E" w:rsidRPr="00FF5476" w:rsidRDefault="00F26B9E" w:rsidP="00AE6CF7">
            <w:pPr>
              <w:jc w:val="left"/>
              <w:rPr>
                <w:rStyle w:val="Glossary-Bold"/>
                <w:rFonts w:cs="Arial"/>
                <w:b w:val="0"/>
                <w:sz w:val="20"/>
                <w:szCs w:val="20"/>
              </w:rPr>
            </w:pPr>
            <w:r w:rsidRPr="00FF5476">
              <w:rPr>
                <w:rStyle w:val="Glossary-Bold"/>
                <w:rFonts w:cs="Arial"/>
                <w:b w:val="0"/>
                <w:sz w:val="20"/>
                <w:szCs w:val="20"/>
              </w:rPr>
              <w:t>Given CyncHealth's role in statute, please confirm that bidders are not expected to identify CyncHealth as a subcontractor in RFP response submissions?</w:t>
            </w:r>
          </w:p>
        </w:tc>
        <w:tc>
          <w:tcPr>
            <w:tcW w:w="1552" w:type="pct"/>
          </w:tcPr>
          <w:p w14:paraId="4D212D38" w14:textId="77777777" w:rsidR="00F26B9E" w:rsidRPr="004736C5" w:rsidRDefault="003306ED" w:rsidP="00AE6CF7">
            <w:pPr>
              <w:pStyle w:val="Level1Body"/>
              <w:jc w:val="left"/>
              <w:rPr>
                <w:rFonts w:cs="Arial"/>
                <w:sz w:val="20"/>
              </w:rPr>
            </w:pPr>
            <w:r w:rsidRPr="004736C5">
              <w:rPr>
                <w:rFonts w:cs="Arial"/>
                <w:sz w:val="20"/>
              </w:rPr>
              <w:t>Bidders are not expected to identify CyncHealth as a subcontractor.</w:t>
            </w:r>
          </w:p>
        </w:tc>
      </w:tr>
      <w:tr w:rsidR="0081334D" w:rsidRPr="00FF5476" w14:paraId="22561A43" w14:textId="77777777" w:rsidTr="00AE6CF7">
        <w:tc>
          <w:tcPr>
            <w:tcW w:w="512" w:type="pct"/>
          </w:tcPr>
          <w:p w14:paraId="3B781E66" w14:textId="77777777" w:rsidR="00F26B9E" w:rsidRPr="00FF5476" w:rsidRDefault="00F26B9E" w:rsidP="00F26B9E">
            <w:pPr>
              <w:pStyle w:val="Level1Body"/>
              <w:numPr>
                <w:ilvl w:val="0"/>
                <w:numId w:val="42"/>
              </w:numPr>
              <w:rPr>
                <w:rFonts w:cs="Arial"/>
                <w:sz w:val="20"/>
              </w:rPr>
            </w:pPr>
          </w:p>
        </w:tc>
        <w:tc>
          <w:tcPr>
            <w:tcW w:w="820" w:type="pct"/>
          </w:tcPr>
          <w:p w14:paraId="0A33065A" w14:textId="77777777" w:rsidR="00F26B9E" w:rsidRPr="00FF5476" w:rsidRDefault="000D0B51" w:rsidP="00AE6CF7">
            <w:pPr>
              <w:jc w:val="left"/>
              <w:rPr>
                <w:rStyle w:val="Glossary-Bold"/>
                <w:rFonts w:cs="Arial"/>
                <w:b w:val="0"/>
                <w:sz w:val="20"/>
                <w:szCs w:val="20"/>
              </w:rPr>
            </w:pPr>
            <w:r>
              <w:rPr>
                <w:rStyle w:val="Glossary-Bold"/>
                <w:rFonts w:cs="Arial"/>
                <w:b w:val="0"/>
                <w:sz w:val="20"/>
                <w:szCs w:val="20"/>
              </w:rPr>
              <w:t xml:space="preserve">Section </w:t>
            </w:r>
            <w:r w:rsidR="00F26B9E" w:rsidRPr="00FF5476">
              <w:rPr>
                <w:rStyle w:val="Glossary-Bold"/>
                <w:rFonts w:cs="Arial"/>
                <w:b w:val="0"/>
                <w:sz w:val="20"/>
                <w:szCs w:val="20"/>
              </w:rPr>
              <w:t>V.E.9.b.iii</w:t>
            </w:r>
            <w:r w:rsidR="007120FA">
              <w:rPr>
                <w:rStyle w:val="Glossary-Bold"/>
                <w:rFonts w:cs="Arial"/>
                <w:b w:val="0"/>
                <w:sz w:val="20"/>
                <w:szCs w:val="20"/>
              </w:rPr>
              <w:t xml:space="preserve"> – Covered Services and Benefits - Core Benefits and Services</w:t>
            </w:r>
          </w:p>
        </w:tc>
        <w:tc>
          <w:tcPr>
            <w:tcW w:w="652" w:type="pct"/>
          </w:tcPr>
          <w:p w14:paraId="62874F42" w14:textId="77777777" w:rsidR="00F26B9E" w:rsidRPr="00FF5476" w:rsidRDefault="00F26B9E" w:rsidP="00AE6CF7">
            <w:pPr>
              <w:jc w:val="left"/>
              <w:rPr>
                <w:rStyle w:val="Glossary-Bold"/>
                <w:rFonts w:cs="Arial"/>
                <w:b w:val="0"/>
                <w:sz w:val="20"/>
                <w:szCs w:val="20"/>
              </w:rPr>
            </w:pPr>
            <w:r w:rsidRPr="00FF5476">
              <w:rPr>
                <w:rStyle w:val="Glossary-Bold"/>
                <w:rFonts w:cs="Arial"/>
                <w:b w:val="0"/>
                <w:sz w:val="20"/>
                <w:szCs w:val="20"/>
              </w:rPr>
              <w:t>50</w:t>
            </w:r>
          </w:p>
        </w:tc>
        <w:tc>
          <w:tcPr>
            <w:tcW w:w="1463" w:type="pct"/>
            <w:vAlign w:val="center"/>
          </w:tcPr>
          <w:p w14:paraId="7BF88964" w14:textId="77777777" w:rsidR="00F26B9E" w:rsidRPr="00FF5476" w:rsidRDefault="00F26B9E" w:rsidP="00AE6CF7">
            <w:pPr>
              <w:jc w:val="left"/>
              <w:rPr>
                <w:rStyle w:val="Glossary-Bold"/>
                <w:rFonts w:cs="Arial"/>
                <w:b w:val="0"/>
                <w:sz w:val="20"/>
                <w:szCs w:val="20"/>
              </w:rPr>
            </w:pPr>
            <w:r w:rsidRPr="00FF5476">
              <w:rPr>
                <w:rStyle w:val="Glossary-Bold"/>
                <w:rFonts w:cs="Arial"/>
                <w:b w:val="0"/>
                <w:sz w:val="20"/>
                <w:szCs w:val="20"/>
              </w:rPr>
              <w:t>Please confirm if Professional resource family care is a new service as there is no fee schedule rates or providers for this service</w:t>
            </w:r>
          </w:p>
        </w:tc>
        <w:tc>
          <w:tcPr>
            <w:tcW w:w="1552" w:type="pct"/>
          </w:tcPr>
          <w:p w14:paraId="08BBA92F" w14:textId="77777777" w:rsidR="00F26B9E" w:rsidRPr="004736C5" w:rsidRDefault="003306ED" w:rsidP="00AE6CF7">
            <w:pPr>
              <w:pStyle w:val="Level1Body"/>
              <w:jc w:val="left"/>
              <w:rPr>
                <w:rFonts w:cs="Arial"/>
                <w:color w:val="auto"/>
                <w:sz w:val="20"/>
              </w:rPr>
            </w:pPr>
            <w:r w:rsidRPr="004736C5">
              <w:rPr>
                <w:rFonts w:cs="Arial"/>
                <w:bCs/>
                <w:color w:val="auto"/>
                <w:sz w:val="20"/>
              </w:rPr>
              <w:t>Professional resource family care is a new service to align with Family First Prevention Services Act and Medicaid service definition is in development.</w:t>
            </w:r>
          </w:p>
        </w:tc>
      </w:tr>
      <w:tr w:rsidR="0081334D" w:rsidRPr="00FF5476" w14:paraId="3FE1D882" w14:textId="77777777" w:rsidTr="00AE6CF7">
        <w:tc>
          <w:tcPr>
            <w:tcW w:w="512" w:type="pct"/>
          </w:tcPr>
          <w:p w14:paraId="5C3A39EE" w14:textId="77777777" w:rsidR="00F26B9E" w:rsidRPr="00FF5476" w:rsidRDefault="00F26B9E" w:rsidP="00F26B9E">
            <w:pPr>
              <w:pStyle w:val="Level1Body"/>
              <w:numPr>
                <w:ilvl w:val="0"/>
                <w:numId w:val="42"/>
              </w:numPr>
              <w:rPr>
                <w:rFonts w:cs="Arial"/>
                <w:sz w:val="20"/>
              </w:rPr>
            </w:pPr>
          </w:p>
        </w:tc>
        <w:tc>
          <w:tcPr>
            <w:tcW w:w="820" w:type="pct"/>
          </w:tcPr>
          <w:p w14:paraId="40CD4524" w14:textId="77777777" w:rsidR="00F26B9E" w:rsidRPr="00FF5476" w:rsidRDefault="0081334D" w:rsidP="00AE6CF7">
            <w:pPr>
              <w:jc w:val="left"/>
              <w:rPr>
                <w:rStyle w:val="Glossary-Bold"/>
                <w:rFonts w:cs="Arial"/>
                <w:b w:val="0"/>
                <w:sz w:val="20"/>
                <w:szCs w:val="20"/>
              </w:rPr>
            </w:pPr>
            <w:r>
              <w:rPr>
                <w:rFonts w:cs="Arial"/>
                <w:color w:val="000000"/>
                <w:sz w:val="20"/>
                <w:szCs w:val="20"/>
              </w:rPr>
              <w:t xml:space="preserve">Section V.E.30 – Covered Services and Benefits - </w:t>
            </w:r>
            <w:r w:rsidR="00F26B9E" w:rsidRPr="00FF5476">
              <w:rPr>
                <w:rFonts w:cs="Arial"/>
                <w:color w:val="000000"/>
                <w:sz w:val="20"/>
                <w:szCs w:val="20"/>
              </w:rPr>
              <w:t>Excluded Services</w:t>
            </w:r>
          </w:p>
        </w:tc>
        <w:tc>
          <w:tcPr>
            <w:tcW w:w="652" w:type="pct"/>
          </w:tcPr>
          <w:p w14:paraId="1DE23C37" w14:textId="77777777" w:rsidR="00F26B9E" w:rsidRPr="00FF5476" w:rsidRDefault="00F26B9E" w:rsidP="00AE6CF7">
            <w:pPr>
              <w:jc w:val="left"/>
              <w:rPr>
                <w:rStyle w:val="Glossary-Bold"/>
                <w:rFonts w:cs="Arial"/>
                <w:b w:val="0"/>
                <w:sz w:val="20"/>
                <w:szCs w:val="20"/>
              </w:rPr>
            </w:pPr>
            <w:r w:rsidRPr="00FF5476">
              <w:rPr>
                <w:rFonts w:cs="Arial"/>
                <w:color w:val="000000"/>
                <w:sz w:val="20"/>
                <w:szCs w:val="20"/>
              </w:rPr>
              <w:t>60.</w:t>
            </w:r>
          </w:p>
        </w:tc>
        <w:tc>
          <w:tcPr>
            <w:tcW w:w="1463" w:type="pct"/>
          </w:tcPr>
          <w:p w14:paraId="0B2CBE0F" w14:textId="77777777" w:rsidR="00F26B9E" w:rsidRPr="00FF5476" w:rsidRDefault="00F26B9E" w:rsidP="00AE6CF7">
            <w:pPr>
              <w:jc w:val="left"/>
              <w:rPr>
                <w:rStyle w:val="Glossary-Bold"/>
                <w:rFonts w:cs="Arial"/>
                <w:b w:val="0"/>
                <w:sz w:val="20"/>
                <w:szCs w:val="20"/>
              </w:rPr>
            </w:pPr>
            <w:r w:rsidRPr="00FF5476">
              <w:rPr>
                <w:rFonts w:cs="Arial"/>
                <w:color w:val="000000"/>
                <w:sz w:val="20"/>
                <w:szCs w:val="20"/>
              </w:rPr>
              <w:t xml:space="preserve">When a member is identified to move from skilled level of care to custodial level of care in a nursing facility or to a </w:t>
            </w:r>
            <w:r w:rsidR="00244B40">
              <w:rPr>
                <w:rFonts w:cs="Arial"/>
                <w:color w:val="000000"/>
                <w:sz w:val="20"/>
                <w:szCs w:val="20"/>
              </w:rPr>
              <w:t xml:space="preserve">[sic] </w:t>
            </w:r>
            <w:r w:rsidRPr="00FF5476">
              <w:rPr>
                <w:rFonts w:cs="Arial"/>
                <w:color w:val="000000"/>
                <w:sz w:val="20"/>
                <w:szCs w:val="20"/>
              </w:rPr>
              <w:t>ICF/DD, we understand that the member is covered under MLTC FFS. Is that member disenrolled from the plan at that time? What is the expectation for the MCO with a custodial NF member?</w:t>
            </w:r>
          </w:p>
        </w:tc>
        <w:tc>
          <w:tcPr>
            <w:tcW w:w="1552" w:type="pct"/>
          </w:tcPr>
          <w:p w14:paraId="4E840224" w14:textId="77777777" w:rsidR="003306ED" w:rsidRPr="004736C5" w:rsidRDefault="003306ED" w:rsidP="003306ED">
            <w:pPr>
              <w:spacing w:after="160" w:line="259" w:lineRule="auto"/>
              <w:jc w:val="left"/>
              <w:rPr>
                <w:rFonts w:cs="Arial"/>
                <w:sz w:val="20"/>
                <w:szCs w:val="20"/>
              </w:rPr>
            </w:pPr>
            <w:r w:rsidRPr="004736C5">
              <w:rPr>
                <w:rFonts w:cs="Arial"/>
                <w:sz w:val="20"/>
                <w:szCs w:val="20"/>
              </w:rPr>
              <w:t xml:space="preserve">The member continues to enrollment with the MCO. The MCO continuous to be responsible for the care and case management of the patient. MCO is responsible for physical health, behavioral health, pharmacy, vision, and dental health services for the patient outside of the LTSS routine services and supports defined in the per diem as defined in 417 NAC 12-007. </w:t>
            </w:r>
          </w:p>
          <w:p w14:paraId="3952FDDD" w14:textId="77777777" w:rsidR="00F26B9E" w:rsidRPr="004736C5" w:rsidRDefault="00F26B9E" w:rsidP="00AE6CF7">
            <w:pPr>
              <w:pStyle w:val="Level1Body"/>
              <w:jc w:val="left"/>
              <w:rPr>
                <w:rFonts w:cs="Arial"/>
                <w:color w:val="auto"/>
                <w:sz w:val="20"/>
              </w:rPr>
            </w:pPr>
          </w:p>
        </w:tc>
      </w:tr>
      <w:tr w:rsidR="000D0B51" w:rsidRPr="00FF5476" w14:paraId="1B19B29C" w14:textId="77777777" w:rsidTr="00A94B43">
        <w:tc>
          <w:tcPr>
            <w:tcW w:w="512" w:type="pct"/>
          </w:tcPr>
          <w:p w14:paraId="563BC92B" w14:textId="77777777" w:rsidR="00F26B9E" w:rsidRPr="00FF5476" w:rsidRDefault="00F26B9E" w:rsidP="00F26B9E">
            <w:pPr>
              <w:pStyle w:val="Level1Body"/>
              <w:numPr>
                <w:ilvl w:val="0"/>
                <w:numId w:val="42"/>
              </w:numPr>
              <w:rPr>
                <w:rFonts w:cs="Arial"/>
                <w:sz w:val="20"/>
              </w:rPr>
            </w:pPr>
          </w:p>
        </w:tc>
        <w:tc>
          <w:tcPr>
            <w:tcW w:w="820" w:type="pct"/>
          </w:tcPr>
          <w:p w14:paraId="4EA15D92" w14:textId="77777777" w:rsidR="00F26B9E" w:rsidRPr="00FF5476" w:rsidRDefault="000D0B51" w:rsidP="00AE6CF7">
            <w:pPr>
              <w:jc w:val="left"/>
              <w:rPr>
                <w:rFonts w:cs="Arial"/>
                <w:sz w:val="20"/>
                <w:szCs w:val="20"/>
              </w:rPr>
            </w:pPr>
            <w:r>
              <w:rPr>
                <w:rFonts w:cs="Arial"/>
                <w:sz w:val="20"/>
                <w:szCs w:val="20"/>
              </w:rPr>
              <w:t xml:space="preserve">Section </w:t>
            </w:r>
            <w:r w:rsidR="00F26B9E" w:rsidRPr="00FF5476">
              <w:rPr>
                <w:rFonts w:cs="Arial"/>
                <w:sz w:val="20"/>
                <w:szCs w:val="20"/>
              </w:rPr>
              <w:t>V.E.</w:t>
            </w:r>
            <w:r w:rsidR="0081334D">
              <w:rPr>
                <w:rFonts w:cs="Arial"/>
                <w:sz w:val="20"/>
                <w:szCs w:val="20"/>
              </w:rPr>
              <w:t>33.</w:t>
            </w:r>
            <w:r w:rsidR="00F26B9E" w:rsidRPr="00FF5476">
              <w:rPr>
                <w:rFonts w:cs="Arial"/>
                <w:sz w:val="20"/>
                <w:szCs w:val="20"/>
              </w:rPr>
              <w:t xml:space="preserve"> Covered Services and Benefits </w:t>
            </w:r>
            <w:r w:rsidR="0081334D">
              <w:rPr>
                <w:rFonts w:cs="Arial"/>
                <w:sz w:val="20"/>
                <w:szCs w:val="20"/>
              </w:rPr>
              <w:t>–</w:t>
            </w:r>
            <w:r w:rsidR="00F26B9E" w:rsidRPr="00FF5476">
              <w:rPr>
                <w:rFonts w:cs="Arial"/>
                <w:sz w:val="20"/>
                <w:szCs w:val="20"/>
              </w:rPr>
              <w:t xml:space="preserve"> </w:t>
            </w:r>
            <w:r w:rsidR="0081334D">
              <w:rPr>
                <w:rFonts w:cs="Arial"/>
                <w:sz w:val="20"/>
                <w:szCs w:val="20"/>
              </w:rPr>
              <w:t>Community of Care for Members Transitioning between MCOs</w:t>
            </w:r>
          </w:p>
        </w:tc>
        <w:tc>
          <w:tcPr>
            <w:tcW w:w="652" w:type="pct"/>
          </w:tcPr>
          <w:p w14:paraId="1F8F99E9" w14:textId="77777777" w:rsidR="00F26B9E" w:rsidRPr="00FF5476" w:rsidRDefault="00F26B9E" w:rsidP="00AE6CF7">
            <w:pPr>
              <w:jc w:val="left"/>
              <w:rPr>
                <w:rFonts w:cs="Arial"/>
                <w:sz w:val="20"/>
                <w:szCs w:val="20"/>
              </w:rPr>
            </w:pPr>
            <w:r w:rsidRPr="00FF5476">
              <w:rPr>
                <w:rFonts w:cs="Arial"/>
                <w:sz w:val="20"/>
                <w:szCs w:val="20"/>
              </w:rPr>
              <w:t>63</w:t>
            </w:r>
          </w:p>
        </w:tc>
        <w:tc>
          <w:tcPr>
            <w:tcW w:w="1463" w:type="pct"/>
          </w:tcPr>
          <w:p w14:paraId="63103A63" w14:textId="77777777" w:rsidR="00F26B9E" w:rsidRPr="00FF5476" w:rsidRDefault="00F26B9E" w:rsidP="00A94B43">
            <w:pPr>
              <w:jc w:val="left"/>
              <w:rPr>
                <w:rFonts w:cs="Arial"/>
                <w:sz w:val="20"/>
                <w:szCs w:val="20"/>
              </w:rPr>
            </w:pPr>
            <w:r w:rsidRPr="00FF5476">
              <w:rPr>
                <w:rFonts w:cs="Arial"/>
                <w:sz w:val="20"/>
                <w:szCs w:val="20"/>
              </w:rPr>
              <w:t>Will the State be able to provide the MCO with claims history for members that are transitioned from FFS to the MCO on/or before their effective date?</w:t>
            </w:r>
          </w:p>
        </w:tc>
        <w:tc>
          <w:tcPr>
            <w:tcW w:w="1552" w:type="pct"/>
          </w:tcPr>
          <w:p w14:paraId="009CD165" w14:textId="77777777" w:rsidR="00F26B9E" w:rsidRPr="004736C5" w:rsidRDefault="00D47E6B" w:rsidP="00D47E6B">
            <w:pPr>
              <w:pStyle w:val="Level1Body"/>
              <w:jc w:val="left"/>
              <w:rPr>
                <w:rFonts w:cs="Arial"/>
                <w:sz w:val="20"/>
              </w:rPr>
            </w:pPr>
            <w:r>
              <w:rPr>
                <w:rFonts w:cs="Arial"/>
                <w:sz w:val="20"/>
              </w:rPr>
              <w:t>Please s</w:t>
            </w:r>
            <w:r w:rsidR="003306ED" w:rsidRPr="004736C5">
              <w:rPr>
                <w:rFonts w:cs="Arial"/>
                <w:sz w:val="20"/>
              </w:rPr>
              <w:t xml:space="preserve">ee </w:t>
            </w:r>
            <w:r>
              <w:rPr>
                <w:rFonts w:cs="Arial"/>
                <w:sz w:val="20"/>
              </w:rPr>
              <w:t>response</w:t>
            </w:r>
            <w:r w:rsidRPr="004736C5">
              <w:rPr>
                <w:rFonts w:cs="Arial"/>
                <w:sz w:val="20"/>
              </w:rPr>
              <w:t xml:space="preserve"> </w:t>
            </w:r>
            <w:r w:rsidR="003306ED" w:rsidRPr="004736C5">
              <w:rPr>
                <w:rFonts w:cs="Arial"/>
                <w:sz w:val="20"/>
              </w:rPr>
              <w:t>to Question 1.</w:t>
            </w:r>
          </w:p>
        </w:tc>
      </w:tr>
      <w:tr w:rsidR="0081334D" w:rsidRPr="00FF5476" w14:paraId="60222059" w14:textId="77777777" w:rsidTr="00AE6CF7">
        <w:tc>
          <w:tcPr>
            <w:tcW w:w="512" w:type="pct"/>
          </w:tcPr>
          <w:p w14:paraId="43E5D6E0" w14:textId="77777777" w:rsidR="00443D56" w:rsidRPr="00FF5476" w:rsidRDefault="00443D56" w:rsidP="00443D56">
            <w:pPr>
              <w:pStyle w:val="Level1Body"/>
              <w:numPr>
                <w:ilvl w:val="0"/>
                <w:numId w:val="42"/>
              </w:numPr>
              <w:rPr>
                <w:rFonts w:cs="Arial"/>
                <w:sz w:val="20"/>
              </w:rPr>
            </w:pPr>
          </w:p>
        </w:tc>
        <w:tc>
          <w:tcPr>
            <w:tcW w:w="820" w:type="pct"/>
          </w:tcPr>
          <w:p w14:paraId="63712A4C" w14:textId="77777777" w:rsidR="00443D56" w:rsidRPr="00FF5476" w:rsidRDefault="00443D56" w:rsidP="00AE6CF7">
            <w:pPr>
              <w:jc w:val="left"/>
              <w:rPr>
                <w:rFonts w:cs="Arial"/>
                <w:sz w:val="20"/>
                <w:szCs w:val="20"/>
              </w:rPr>
            </w:pPr>
            <w:r w:rsidRPr="00FF5476">
              <w:rPr>
                <w:rStyle w:val="Glossary-Bold"/>
                <w:rFonts w:cs="Arial"/>
                <w:b w:val="0"/>
                <w:sz w:val="20"/>
                <w:szCs w:val="20"/>
              </w:rPr>
              <w:t>Section V.F.8</w:t>
            </w:r>
            <w:r w:rsidR="0081334D">
              <w:rPr>
                <w:rStyle w:val="Glossary-Bold"/>
                <w:rFonts w:cs="Arial"/>
                <w:b w:val="0"/>
                <w:sz w:val="20"/>
                <w:szCs w:val="20"/>
              </w:rPr>
              <w:t xml:space="preserve"> – Member Services and Education – Provider Directory for Members</w:t>
            </w:r>
          </w:p>
        </w:tc>
        <w:tc>
          <w:tcPr>
            <w:tcW w:w="652" w:type="pct"/>
          </w:tcPr>
          <w:p w14:paraId="0770A2BE" w14:textId="77777777" w:rsidR="00443D56" w:rsidRPr="00FF5476" w:rsidRDefault="00443D56" w:rsidP="00AE6CF7">
            <w:pPr>
              <w:jc w:val="left"/>
              <w:rPr>
                <w:rFonts w:cs="Arial"/>
                <w:sz w:val="20"/>
                <w:szCs w:val="20"/>
              </w:rPr>
            </w:pPr>
            <w:r w:rsidRPr="00FF5476">
              <w:rPr>
                <w:rStyle w:val="Glossary-Bold"/>
                <w:rFonts w:cs="Arial"/>
                <w:b w:val="0"/>
                <w:sz w:val="20"/>
                <w:szCs w:val="20"/>
              </w:rPr>
              <w:t>70</w:t>
            </w:r>
          </w:p>
        </w:tc>
        <w:tc>
          <w:tcPr>
            <w:tcW w:w="1463" w:type="pct"/>
            <w:vAlign w:val="center"/>
          </w:tcPr>
          <w:p w14:paraId="0720138A" w14:textId="77777777" w:rsidR="00443D56" w:rsidRPr="00FF5476" w:rsidRDefault="00443D56" w:rsidP="00AE6CF7">
            <w:pPr>
              <w:jc w:val="left"/>
              <w:rPr>
                <w:rFonts w:cs="Arial"/>
                <w:sz w:val="20"/>
                <w:szCs w:val="20"/>
              </w:rPr>
            </w:pPr>
            <w:r w:rsidRPr="00FF5476">
              <w:rPr>
                <w:rStyle w:val="Glossary-Bold"/>
                <w:rFonts w:cs="Arial"/>
                <w:b w:val="0"/>
                <w:sz w:val="20"/>
                <w:szCs w:val="20"/>
              </w:rPr>
              <w:t>Please confirm what MLTC’s expectation is in instances where the provider address provided to MCOs is different than the address supplied to the MCO by the provider directly.  Which address should an MCO display in their provider directory to satisfy this requirement?</w:t>
            </w:r>
          </w:p>
        </w:tc>
        <w:tc>
          <w:tcPr>
            <w:tcW w:w="1552" w:type="pct"/>
          </w:tcPr>
          <w:p w14:paraId="749A57AB" w14:textId="77777777" w:rsidR="00443D56" w:rsidRPr="004736C5" w:rsidRDefault="003306ED" w:rsidP="00AE6CF7">
            <w:pPr>
              <w:pStyle w:val="Level1Body"/>
              <w:jc w:val="left"/>
              <w:rPr>
                <w:rFonts w:cs="Arial"/>
                <w:sz w:val="20"/>
              </w:rPr>
            </w:pPr>
            <w:r w:rsidRPr="004736C5">
              <w:rPr>
                <w:rFonts w:cs="Arial"/>
                <w:noProof/>
                <w:color w:val="auto"/>
                <w:sz w:val="20"/>
              </w:rPr>
              <w:t>MCOs must credential a provider in the same manner the provider is enrolled with Nebraska Medicaid (address(es), NPI, provider type, etc)</w:t>
            </w:r>
          </w:p>
        </w:tc>
      </w:tr>
      <w:tr w:rsidR="000D0B51" w:rsidRPr="00FF5476" w14:paraId="2E9A1BEC" w14:textId="77777777" w:rsidTr="00AE6CF7">
        <w:tc>
          <w:tcPr>
            <w:tcW w:w="512" w:type="pct"/>
          </w:tcPr>
          <w:p w14:paraId="183FDF76" w14:textId="77777777" w:rsidR="00443D56" w:rsidRPr="00FF5476" w:rsidRDefault="00443D56" w:rsidP="00443D56">
            <w:pPr>
              <w:pStyle w:val="Level1Body"/>
              <w:numPr>
                <w:ilvl w:val="0"/>
                <w:numId w:val="42"/>
              </w:numPr>
              <w:rPr>
                <w:rFonts w:cs="Arial"/>
                <w:sz w:val="20"/>
              </w:rPr>
            </w:pPr>
          </w:p>
        </w:tc>
        <w:tc>
          <w:tcPr>
            <w:tcW w:w="820" w:type="pct"/>
          </w:tcPr>
          <w:p w14:paraId="656C5F46" w14:textId="77777777" w:rsidR="00443D56" w:rsidRPr="00FF5476" w:rsidRDefault="000D0B51" w:rsidP="00AE6CF7">
            <w:pPr>
              <w:spacing w:line="252" w:lineRule="auto"/>
              <w:jc w:val="left"/>
              <w:rPr>
                <w:rFonts w:cs="Arial"/>
                <w:color w:val="000000"/>
                <w:sz w:val="20"/>
                <w:szCs w:val="20"/>
              </w:rPr>
            </w:pPr>
            <w:r>
              <w:rPr>
                <w:rFonts w:cs="Arial"/>
                <w:sz w:val="20"/>
                <w:szCs w:val="20"/>
              </w:rPr>
              <w:t xml:space="preserve">Section </w:t>
            </w:r>
            <w:r w:rsidR="00443D56" w:rsidRPr="00FF5476">
              <w:rPr>
                <w:rFonts w:cs="Arial"/>
                <w:sz w:val="20"/>
                <w:szCs w:val="20"/>
              </w:rPr>
              <w:t>V.J.4.c.iii</w:t>
            </w:r>
            <w:r w:rsidR="0081334D">
              <w:rPr>
                <w:rFonts w:cs="Arial"/>
                <w:sz w:val="20"/>
                <w:szCs w:val="20"/>
              </w:rPr>
              <w:t xml:space="preserve"> – Provider Services – Provider Website</w:t>
            </w:r>
          </w:p>
        </w:tc>
        <w:tc>
          <w:tcPr>
            <w:tcW w:w="652" w:type="pct"/>
          </w:tcPr>
          <w:p w14:paraId="098FDD1F" w14:textId="77777777" w:rsidR="00443D56" w:rsidRPr="00FF5476" w:rsidRDefault="00443D56" w:rsidP="00AE6CF7">
            <w:pPr>
              <w:jc w:val="left"/>
              <w:rPr>
                <w:rFonts w:cs="Arial"/>
                <w:color w:val="000000"/>
                <w:sz w:val="20"/>
                <w:szCs w:val="20"/>
              </w:rPr>
            </w:pPr>
            <w:r w:rsidRPr="00FF5476">
              <w:rPr>
                <w:rFonts w:cs="Arial"/>
                <w:sz w:val="20"/>
                <w:szCs w:val="20"/>
              </w:rPr>
              <w:t>94</w:t>
            </w:r>
          </w:p>
        </w:tc>
        <w:tc>
          <w:tcPr>
            <w:tcW w:w="1463" w:type="pct"/>
            <w:vAlign w:val="center"/>
          </w:tcPr>
          <w:p w14:paraId="6F2295D2" w14:textId="77777777" w:rsidR="00443D56" w:rsidRPr="00FF5476" w:rsidRDefault="00443D56" w:rsidP="00AE6CF7">
            <w:pPr>
              <w:jc w:val="left"/>
              <w:rPr>
                <w:rFonts w:cs="Arial"/>
                <w:sz w:val="20"/>
                <w:szCs w:val="20"/>
              </w:rPr>
            </w:pPr>
            <w:r w:rsidRPr="00FF5476">
              <w:rPr>
                <w:rFonts w:cs="Arial"/>
                <w:sz w:val="20"/>
                <w:szCs w:val="20"/>
              </w:rPr>
              <w:t xml:space="preserve">In this section the language reads, “Web-based referral search system that will allow MCO and MLTC staff, providers, members, and any other interested persons to locate network providers through an online searchable database.” </w:t>
            </w:r>
            <w:r w:rsidRPr="00FF5476">
              <w:rPr>
                <w:rFonts w:cs="Arial"/>
                <w:sz w:val="20"/>
                <w:szCs w:val="20"/>
              </w:rPr>
              <w:br/>
            </w:r>
          </w:p>
          <w:p w14:paraId="1CDA95E6" w14:textId="77777777" w:rsidR="00443D56" w:rsidRPr="00FF5476" w:rsidRDefault="00443D56" w:rsidP="00AE6CF7">
            <w:pPr>
              <w:jc w:val="left"/>
              <w:rPr>
                <w:rFonts w:cs="Arial"/>
                <w:color w:val="000000"/>
                <w:sz w:val="20"/>
                <w:szCs w:val="20"/>
              </w:rPr>
            </w:pPr>
            <w:r w:rsidRPr="00FF5476">
              <w:rPr>
                <w:rFonts w:cs="Arial"/>
                <w:sz w:val="20"/>
                <w:szCs w:val="20"/>
              </w:rPr>
              <w:t xml:space="preserve">Can the state confirm that the web-based referral search system described in section J.4.c.iii can also be considered the MCO’s provider directory? </w:t>
            </w:r>
          </w:p>
        </w:tc>
        <w:tc>
          <w:tcPr>
            <w:tcW w:w="1552" w:type="pct"/>
          </w:tcPr>
          <w:p w14:paraId="08B54EBB" w14:textId="77777777" w:rsidR="00443D56" w:rsidRPr="004736C5" w:rsidRDefault="003306ED" w:rsidP="00AE6CF7">
            <w:pPr>
              <w:pStyle w:val="Level1Body"/>
              <w:jc w:val="left"/>
              <w:rPr>
                <w:rFonts w:cs="Arial"/>
                <w:sz w:val="20"/>
              </w:rPr>
            </w:pPr>
            <w:r w:rsidRPr="004736C5">
              <w:rPr>
                <w:rFonts w:cs="Arial"/>
                <w:sz w:val="20"/>
              </w:rPr>
              <w:t xml:space="preserve">The </w:t>
            </w:r>
            <w:r w:rsidR="00FA3BF6">
              <w:rPr>
                <w:rFonts w:cs="Arial"/>
                <w:sz w:val="20"/>
              </w:rPr>
              <w:t>S</w:t>
            </w:r>
            <w:r w:rsidRPr="004736C5">
              <w:rPr>
                <w:rFonts w:cs="Arial"/>
                <w:sz w:val="20"/>
              </w:rPr>
              <w:t xml:space="preserve">tate confirms the web-based referral search system described in section </w:t>
            </w:r>
            <w:r w:rsidR="00244B40">
              <w:rPr>
                <w:rFonts w:cs="Arial"/>
                <w:sz w:val="20"/>
              </w:rPr>
              <w:t>V.</w:t>
            </w:r>
            <w:r w:rsidRPr="004736C5">
              <w:rPr>
                <w:rFonts w:cs="Arial"/>
                <w:sz w:val="20"/>
              </w:rPr>
              <w:t>J.4.c.iii can also be considered the MCO’s provider directory.</w:t>
            </w:r>
          </w:p>
        </w:tc>
      </w:tr>
      <w:tr w:rsidR="000D0B51" w:rsidRPr="00FF5476" w14:paraId="5D7A335E" w14:textId="77777777" w:rsidTr="00AE6CF7">
        <w:tc>
          <w:tcPr>
            <w:tcW w:w="512" w:type="pct"/>
          </w:tcPr>
          <w:p w14:paraId="692E0B37" w14:textId="77777777" w:rsidR="00443D56" w:rsidRPr="00FF5476" w:rsidRDefault="00443D56" w:rsidP="00443D56">
            <w:pPr>
              <w:pStyle w:val="Level1Body"/>
              <w:numPr>
                <w:ilvl w:val="0"/>
                <w:numId w:val="42"/>
              </w:numPr>
              <w:rPr>
                <w:rFonts w:cs="Arial"/>
                <w:sz w:val="20"/>
              </w:rPr>
            </w:pPr>
          </w:p>
        </w:tc>
        <w:tc>
          <w:tcPr>
            <w:tcW w:w="820" w:type="pct"/>
          </w:tcPr>
          <w:p w14:paraId="26713F0F" w14:textId="77777777" w:rsidR="00443D56" w:rsidRPr="00FF5476" w:rsidRDefault="000D0B51" w:rsidP="00AE6CF7">
            <w:pPr>
              <w:spacing w:line="252" w:lineRule="auto"/>
              <w:jc w:val="left"/>
              <w:rPr>
                <w:rFonts w:cs="Arial"/>
                <w:color w:val="000000"/>
                <w:sz w:val="20"/>
                <w:szCs w:val="20"/>
              </w:rPr>
            </w:pPr>
            <w:r>
              <w:rPr>
                <w:rFonts w:cs="Arial"/>
                <w:sz w:val="20"/>
                <w:szCs w:val="20"/>
              </w:rPr>
              <w:t xml:space="preserve">Section </w:t>
            </w:r>
            <w:r w:rsidR="00443D56" w:rsidRPr="00FF5476">
              <w:rPr>
                <w:rFonts w:cs="Arial"/>
                <w:sz w:val="20"/>
                <w:szCs w:val="20"/>
              </w:rPr>
              <w:t>V.N.17.</w:t>
            </w:r>
            <w:r w:rsidR="0081334D">
              <w:rPr>
                <w:rFonts w:cs="Arial"/>
                <w:sz w:val="20"/>
                <w:szCs w:val="20"/>
              </w:rPr>
              <w:t>d.</w:t>
            </w:r>
            <w:r w:rsidR="00443D56" w:rsidRPr="00FF5476">
              <w:rPr>
                <w:rFonts w:cs="Arial"/>
                <w:sz w:val="20"/>
                <w:szCs w:val="20"/>
              </w:rPr>
              <w:t>iv</w:t>
            </w:r>
            <w:r w:rsidR="0081334D">
              <w:rPr>
                <w:rFonts w:cs="Arial"/>
                <w:sz w:val="20"/>
                <w:szCs w:val="20"/>
              </w:rPr>
              <w:t xml:space="preserve"> - </w:t>
            </w:r>
            <w:r w:rsidR="0081334D" w:rsidRPr="00FF5476">
              <w:rPr>
                <w:rFonts w:cs="Arial"/>
                <w:sz w:val="20"/>
                <w:szCs w:val="20"/>
              </w:rPr>
              <w:t>Utilization Management</w:t>
            </w:r>
          </w:p>
        </w:tc>
        <w:tc>
          <w:tcPr>
            <w:tcW w:w="652" w:type="pct"/>
          </w:tcPr>
          <w:p w14:paraId="618CE283" w14:textId="77777777" w:rsidR="00443D56" w:rsidRPr="00FF5476" w:rsidRDefault="00443D56" w:rsidP="00AE6CF7">
            <w:pPr>
              <w:jc w:val="left"/>
              <w:rPr>
                <w:rFonts w:cs="Arial"/>
                <w:color w:val="000000"/>
                <w:sz w:val="20"/>
                <w:szCs w:val="20"/>
              </w:rPr>
            </w:pPr>
            <w:r w:rsidRPr="00FF5476">
              <w:rPr>
                <w:rFonts w:cs="Arial"/>
                <w:sz w:val="20"/>
                <w:szCs w:val="20"/>
              </w:rPr>
              <w:t>123</w:t>
            </w:r>
          </w:p>
        </w:tc>
        <w:tc>
          <w:tcPr>
            <w:tcW w:w="1463" w:type="pct"/>
            <w:vAlign w:val="center"/>
          </w:tcPr>
          <w:p w14:paraId="74DAA10A" w14:textId="77777777" w:rsidR="00443D56" w:rsidRPr="00FF5476" w:rsidRDefault="00443D56" w:rsidP="00AE6CF7">
            <w:pPr>
              <w:jc w:val="left"/>
              <w:rPr>
                <w:rFonts w:cs="Arial"/>
                <w:color w:val="000000"/>
                <w:sz w:val="20"/>
                <w:szCs w:val="20"/>
              </w:rPr>
            </w:pPr>
            <w:r w:rsidRPr="00FF5476">
              <w:rPr>
                <w:rFonts w:cs="Arial"/>
                <w:sz w:val="20"/>
                <w:szCs w:val="20"/>
              </w:rPr>
              <w:t>The subsection iv. Exceptions to Requirements makes references to “service authorization” and “prior authorization”. There are other references to both of these terms throughout the RFP and Attachments. For the purposes of the RFP, we assume the terms “service authorization” and “prior authorization” are synonymous. Are we correct in our assumption?  If we are not correct, please clarify.</w:t>
            </w:r>
          </w:p>
        </w:tc>
        <w:tc>
          <w:tcPr>
            <w:tcW w:w="1552" w:type="pct"/>
          </w:tcPr>
          <w:p w14:paraId="0260FA97" w14:textId="77777777" w:rsidR="00443D56" w:rsidRPr="004736C5" w:rsidRDefault="003306ED" w:rsidP="00AE6CF7">
            <w:pPr>
              <w:pStyle w:val="Level1Body"/>
              <w:jc w:val="left"/>
              <w:rPr>
                <w:rFonts w:cs="Arial"/>
                <w:sz w:val="20"/>
              </w:rPr>
            </w:pPr>
            <w:r w:rsidRPr="004736C5">
              <w:rPr>
                <w:rFonts w:cs="Arial"/>
                <w:color w:val="auto"/>
                <w:sz w:val="20"/>
              </w:rPr>
              <w:t xml:space="preserve">Service authorization may include prior authorization, concurrent review, retrospective review, peer-to-peer discussion, and reconsideration reviews. In the section </w:t>
            </w:r>
            <w:r w:rsidR="00244B40">
              <w:rPr>
                <w:rFonts w:cs="Arial"/>
                <w:color w:val="auto"/>
                <w:sz w:val="20"/>
              </w:rPr>
              <w:t>V.</w:t>
            </w:r>
            <w:r w:rsidRPr="004736C5">
              <w:rPr>
                <w:rFonts w:cs="Arial"/>
                <w:color w:val="auto"/>
                <w:sz w:val="20"/>
              </w:rPr>
              <w:t>N.17.d.iv service authorization is synonymous with prior authorization.</w:t>
            </w:r>
          </w:p>
        </w:tc>
      </w:tr>
      <w:tr w:rsidR="0081334D" w:rsidRPr="00FF5476" w14:paraId="4D0BB7B4" w14:textId="77777777" w:rsidTr="00AE6CF7">
        <w:tc>
          <w:tcPr>
            <w:tcW w:w="512" w:type="pct"/>
          </w:tcPr>
          <w:p w14:paraId="3411860D" w14:textId="77777777" w:rsidR="00443D56" w:rsidRPr="00FF5476" w:rsidRDefault="00443D56" w:rsidP="00443D56">
            <w:pPr>
              <w:pStyle w:val="Level1Body"/>
              <w:numPr>
                <w:ilvl w:val="0"/>
                <w:numId w:val="42"/>
              </w:numPr>
              <w:rPr>
                <w:rFonts w:cs="Arial"/>
                <w:sz w:val="20"/>
              </w:rPr>
            </w:pPr>
          </w:p>
        </w:tc>
        <w:tc>
          <w:tcPr>
            <w:tcW w:w="820" w:type="pct"/>
          </w:tcPr>
          <w:p w14:paraId="1F507698" w14:textId="77777777" w:rsidR="00443D56" w:rsidRPr="00FF5476" w:rsidRDefault="00443D56" w:rsidP="00AE6CF7">
            <w:pPr>
              <w:spacing w:line="252" w:lineRule="auto"/>
              <w:jc w:val="left"/>
              <w:rPr>
                <w:rFonts w:cs="Arial"/>
                <w:sz w:val="20"/>
                <w:szCs w:val="20"/>
              </w:rPr>
            </w:pPr>
            <w:r w:rsidRPr="00FF5476">
              <w:rPr>
                <w:rStyle w:val="Glossary-Bold"/>
                <w:rFonts w:cs="Arial"/>
                <w:b w:val="0"/>
                <w:sz w:val="20"/>
                <w:szCs w:val="20"/>
              </w:rPr>
              <w:t>Section IV.O.2a</w:t>
            </w:r>
            <w:r w:rsidR="0081334D">
              <w:rPr>
                <w:rStyle w:val="Glossary-Bold"/>
                <w:rFonts w:cs="Arial"/>
                <w:b w:val="0"/>
                <w:sz w:val="20"/>
                <w:szCs w:val="20"/>
              </w:rPr>
              <w:t xml:space="preserve"> – Program Integrity -</w:t>
            </w:r>
            <w:r w:rsidRPr="00FF5476">
              <w:rPr>
                <w:rStyle w:val="Glossary-Bold"/>
                <w:rFonts w:cs="Arial"/>
                <w:b w:val="0"/>
                <w:sz w:val="20"/>
                <w:szCs w:val="20"/>
              </w:rPr>
              <w:t xml:space="preserve"> Recovery of Payments</w:t>
            </w:r>
          </w:p>
        </w:tc>
        <w:tc>
          <w:tcPr>
            <w:tcW w:w="652" w:type="pct"/>
          </w:tcPr>
          <w:p w14:paraId="6CE25ED6" w14:textId="77777777" w:rsidR="00443D56" w:rsidRPr="00FF5476" w:rsidRDefault="00443D56" w:rsidP="00AE6CF7">
            <w:pPr>
              <w:jc w:val="left"/>
              <w:rPr>
                <w:rFonts w:cs="Arial"/>
                <w:sz w:val="20"/>
                <w:szCs w:val="20"/>
              </w:rPr>
            </w:pPr>
            <w:r w:rsidRPr="00FF5476">
              <w:rPr>
                <w:rStyle w:val="Glossary-Bold"/>
                <w:rFonts w:cs="Arial"/>
                <w:b w:val="0"/>
                <w:sz w:val="20"/>
                <w:szCs w:val="20"/>
              </w:rPr>
              <w:t>125</w:t>
            </w:r>
          </w:p>
        </w:tc>
        <w:tc>
          <w:tcPr>
            <w:tcW w:w="1463" w:type="pct"/>
            <w:vAlign w:val="center"/>
          </w:tcPr>
          <w:p w14:paraId="435D2BBB" w14:textId="77777777" w:rsidR="00443D56" w:rsidRPr="00FF5476" w:rsidRDefault="00443D56" w:rsidP="00AE6CF7">
            <w:pPr>
              <w:jc w:val="left"/>
              <w:rPr>
                <w:rFonts w:cs="Arial"/>
                <w:sz w:val="20"/>
                <w:szCs w:val="20"/>
              </w:rPr>
            </w:pPr>
            <w:r w:rsidRPr="00FF5476">
              <w:rPr>
                <w:rStyle w:val="Glossary-Bold"/>
                <w:rFonts w:cs="Arial"/>
                <w:b w:val="0"/>
                <w:sz w:val="20"/>
                <w:szCs w:val="20"/>
              </w:rPr>
              <w:t>Would the state consider changing the number of days for reporting or returning overpayments to a more standard 180 or 365 days instead of 60 days?</w:t>
            </w:r>
          </w:p>
        </w:tc>
        <w:tc>
          <w:tcPr>
            <w:tcW w:w="1552" w:type="pct"/>
          </w:tcPr>
          <w:p w14:paraId="686385AA" w14:textId="77777777" w:rsidR="00443D56" w:rsidRPr="004736C5" w:rsidRDefault="00911FEA" w:rsidP="00AE6CF7">
            <w:pPr>
              <w:pStyle w:val="Level1Body"/>
              <w:jc w:val="left"/>
              <w:rPr>
                <w:rFonts w:cs="Arial"/>
                <w:sz w:val="20"/>
              </w:rPr>
            </w:pPr>
            <w:r w:rsidRPr="004736C5">
              <w:rPr>
                <w:rFonts w:cs="Arial"/>
                <w:sz w:val="20"/>
              </w:rPr>
              <w:t>No.</w:t>
            </w:r>
          </w:p>
        </w:tc>
      </w:tr>
      <w:tr w:rsidR="0081334D" w:rsidRPr="00FF5476" w14:paraId="30DAD293" w14:textId="77777777" w:rsidTr="00AE6CF7">
        <w:tc>
          <w:tcPr>
            <w:tcW w:w="512" w:type="pct"/>
          </w:tcPr>
          <w:p w14:paraId="55935246" w14:textId="77777777" w:rsidR="00443D56" w:rsidRPr="00FF5476" w:rsidRDefault="00443D56" w:rsidP="00443D56">
            <w:pPr>
              <w:pStyle w:val="Level1Body"/>
              <w:numPr>
                <w:ilvl w:val="0"/>
                <w:numId w:val="42"/>
              </w:numPr>
              <w:rPr>
                <w:rFonts w:cs="Arial"/>
                <w:sz w:val="20"/>
              </w:rPr>
            </w:pPr>
          </w:p>
        </w:tc>
        <w:tc>
          <w:tcPr>
            <w:tcW w:w="820" w:type="pct"/>
          </w:tcPr>
          <w:p w14:paraId="0FC83820" w14:textId="77777777" w:rsidR="00443D56" w:rsidRPr="00FF5476" w:rsidRDefault="00443D56" w:rsidP="00AE6CF7">
            <w:pPr>
              <w:spacing w:line="252" w:lineRule="auto"/>
              <w:jc w:val="left"/>
              <w:rPr>
                <w:rFonts w:cs="Arial"/>
                <w:sz w:val="20"/>
                <w:szCs w:val="20"/>
              </w:rPr>
            </w:pPr>
            <w:r w:rsidRPr="00FF5476">
              <w:rPr>
                <w:rStyle w:val="Glossary-Bold"/>
                <w:rFonts w:cs="Arial"/>
                <w:b w:val="0"/>
                <w:sz w:val="20"/>
                <w:szCs w:val="20"/>
              </w:rPr>
              <w:t>Section V.Q.5</w:t>
            </w:r>
            <w:r w:rsidR="0081334D">
              <w:rPr>
                <w:rStyle w:val="Glossary-Bold"/>
                <w:rFonts w:cs="Arial"/>
                <w:b w:val="0"/>
                <w:sz w:val="20"/>
                <w:szCs w:val="20"/>
              </w:rPr>
              <w:t xml:space="preserve"> – Provider Reimbursement – Indian Health Protections</w:t>
            </w:r>
          </w:p>
        </w:tc>
        <w:tc>
          <w:tcPr>
            <w:tcW w:w="652" w:type="pct"/>
          </w:tcPr>
          <w:p w14:paraId="0F1DDE4C" w14:textId="77777777" w:rsidR="00443D56" w:rsidRPr="00FF5476" w:rsidRDefault="00443D56" w:rsidP="00AE6CF7">
            <w:pPr>
              <w:jc w:val="left"/>
              <w:rPr>
                <w:rFonts w:cs="Arial"/>
                <w:sz w:val="20"/>
                <w:szCs w:val="20"/>
              </w:rPr>
            </w:pPr>
            <w:r w:rsidRPr="00FF5476">
              <w:rPr>
                <w:rStyle w:val="Glossary-Bold"/>
                <w:rFonts w:cs="Arial"/>
                <w:b w:val="0"/>
                <w:sz w:val="20"/>
                <w:szCs w:val="20"/>
              </w:rPr>
              <w:t>136</w:t>
            </w:r>
          </w:p>
        </w:tc>
        <w:tc>
          <w:tcPr>
            <w:tcW w:w="1463" w:type="pct"/>
            <w:vAlign w:val="center"/>
          </w:tcPr>
          <w:p w14:paraId="07E5C5B5" w14:textId="77777777" w:rsidR="00443D56" w:rsidRPr="00FF5476" w:rsidRDefault="00443D56" w:rsidP="00AE6CF7">
            <w:pPr>
              <w:jc w:val="left"/>
              <w:rPr>
                <w:rFonts w:cs="Arial"/>
                <w:sz w:val="20"/>
                <w:szCs w:val="20"/>
              </w:rPr>
            </w:pPr>
            <w:r w:rsidRPr="00FF5476">
              <w:rPr>
                <w:rStyle w:val="Glossary-Bold"/>
                <w:rFonts w:cs="Arial"/>
                <w:b w:val="0"/>
                <w:sz w:val="20"/>
                <w:szCs w:val="20"/>
              </w:rPr>
              <w:t>Is the expectation to reimburse I/T/U providers at the all-inclusive encounter rate as identified in Amendment 2 of the current contracts or to allow negotiated rates for I/T/U providers?</w:t>
            </w:r>
          </w:p>
        </w:tc>
        <w:tc>
          <w:tcPr>
            <w:tcW w:w="1552" w:type="pct"/>
          </w:tcPr>
          <w:p w14:paraId="14DE57CB" w14:textId="77777777" w:rsidR="00443D56" w:rsidRPr="004736C5" w:rsidRDefault="00911FEA" w:rsidP="00AE6CF7">
            <w:pPr>
              <w:pStyle w:val="Level1Body"/>
              <w:jc w:val="left"/>
              <w:rPr>
                <w:rFonts w:cs="Arial"/>
                <w:sz w:val="20"/>
              </w:rPr>
            </w:pPr>
            <w:r w:rsidRPr="004736C5">
              <w:rPr>
                <w:rFonts w:cs="Arial"/>
                <w:sz w:val="20"/>
              </w:rPr>
              <w:t>MLTC expects MCO’s to pay at least the all-inclusive encounter rate for eligible services.</w:t>
            </w:r>
          </w:p>
        </w:tc>
      </w:tr>
      <w:tr w:rsidR="000D0B51" w:rsidRPr="00FF5476" w14:paraId="63BF9317" w14:textId="77777777" w:rsidTr="00AE6CF7">
        <w:tc>
          <w:tcPr>
            <w:tcW w:w="512" w:type="pct"/>
          </w:tcPr>
          <w:p w14:paraId="55CD2459" w14:textId="77777777" w:rsidR="00443D56" w:rsidRPr="00FF5476" w:rsidRDefault="00443D56" w:rsidP="00443D56">
            <w:pPr>
              <w:pStyle w:val="Level1Body"/>
              <w:numPr>
                <w:ilvl w:val="0"/>
                <w:numId w:val="42"/>
              </w:numPr>
              <w:rPr>
                <w:rFonts w:cs="Arial"/>
                <w:sz w:val="20"/>
              </w:rPr>
            </w:pPr>
          </w:p>
        </w:tc>
        <w:tc>
          <w:tcPr>
            <w:tcW w:w="820" w:type="pct"/>
          </w:tcPr>
          <w:p w14:paraId="39F84718" w14:textId="77777777" w:rsidR="00443D56" w:rsidRPr="00FF5476" w:rsidRDefault="000D0B51" w:rsidP="00AE6CF7">
            <w:pPr>
              <w:spacing w:line="252" w:lineRule="auto"/>
              <w:jc w:val="left"/>
              <w:rPr>
                <w:rFonts w:cs="Arial"/>
                <w:color w:val="000000"/>
                <w:sz w:val="20"/>
                <w:szCs w:val="20"/>
              </w:rPr>
            </w:pPr>
            <w:r>
              <w:rPr>
                <w:rFonts w:cs="Arial"/>
                <w:color w:val="000000"/>
                <w:sz w:val="20"/>
                <w:szCs w:val="20"/>
              </w:rPr>
              <w:t xml:space="preserve">Section </w:t>
            </w:r>
            <w:r w:rsidR="00443D56" w:rsidRPr="00FF5476">
              <w:rPr>
                <w:rFonts w:cs="Arial"/>
                <w:color w:val="000000"/>
                <w:sz w:val="20"/>
                <w:szCs w:val="20"/>
              </w:rPr>
              <w:t xml:space="preserve">V.X.4.i.d </w:t>
            </w:r>
            <w:r w:rsidR="0081334D">
              <w:rPr>
                <w:rFonts w:cs="Arial"/>
                <w:color w:val="000000"/>
                <w:sz w:val="20"/>
                <w:szCs w:val="20"/>
              </w:rPr>
              <w:t>–</w:t>
            </w:r>
            <w:r w:rsidR="00443D56" w:rsidRPr="00FF5476">
              <w:rPr>
                <w:rFonts w:cs="Arial"/>
                <w:color w:val="000000"/>
                <w:sz w:val="20"/>
                <w:szCs w:val="20"/>
              </w:rPr>
              <w:t xml:space="preserve"> e</w:t>
            </w:r>
            <w:r w:rsidR="0081334D">
              <w:rPr>
                <w:rFonts w:cs="Arial"/>
                <w:color w:val="000000"/>
                <w:sz w:val="20"/>
                <w:szCs w:val="20"/>
              </w:rPr>
              <w:t xml:space="preserve"> - </w:t>
            </w:r>
            <w:r w:rsidR="0081334D" w:rsidRPr="00FF5476">
              <w:rPr>
                <w:rFonts w:cs="Arial"/>
                <w:color w:val="000000"/>
                <w:sz w:val="20"/>
                <w:szCs w:val="20"/>
              </w:rPr>
              <w:t>Transition and Implementation</w:t>
            </w:r>
          </w:p>
        </w:tc>
        <w:tc>
          <w:tcPr>
            <w:tcW w:w="652" w:type="pct"/>
          </w:tcPr>
          <w:p w14:paraId="04CC389E" w14:textId="77777777" w:rsidR="00443D56" w:rsidRPr="00FF5476" w:rsidRDefault="00443D56" w:rsidP="00AE6CF7">
            <w:pPr>
              <w:jc w:val="left"/>
              <w:rPr>
                <w:rFonts w:cs="Arial"/>
                <w:color w:val="000000"/>
                <w:sz w:val="20"/>
                <w:szCs w:val="20"/>
              </w:rPr>
            </w:pPr>
            <w:r w:rsidRPr="00FF5476">
              <w:rPr>
                <w:rFonts w:cs="Arial"/>
                <w:color w:val="000000"/>
                <w:sz w:val="20"/>
                <w:szCs w:val="20"/>
              </w:rPr>
              <w:t>166</w:t>
            </w:r>
          </w:p>
        </w:tc>
        <w:tc>
          <w:tcPr>
            <w:tcW w:w="1463" w:type="pct"/>
          </w:tcPr>
          <w:p w14:paraId="29A4B129" w14:textId="77777777" w:rsidR="00443D56" w:rsidRPr="00FF5476" w:rsidRDefault="00443D56" w:rsidP="00AE6CF7">
            <w:pPr>
              <w:spacing w:before="100" w:beforeAutospacing="1" w:after="100" w:afterAutospacing="1"/>
              <w:jc w:val="left"/>
              <w:rPr>
                <w:rFonts w:cs="Arial"/>
                <w:color w:val="000000"/>
                <w:sz w:val="20"/>
                <w:szCs w:val="20"/>
              </w:rPr>
            </w:pPr>
            <w:r w:rsidRPr="00FF5476">
              <w:rPr>
                <w:rFonts w:cs="Arial"/>
                <w:color w:val="000000"/>
                <w:sz w:val="20"/>
                <w:szCs w:val="20"/>
              </w:rPr>
              <w:t>Part d states "If applicable and as necessary, the incumbent MCO must transition to the successor MCO pending grievances, appeals and member/provider service issues to ensure timely resolution, and Part e states " The incumbent MCO must have a sufficient number of qualified staff to meet filing deadlines and attend all court or administrative proceedings."</w:t>
            </w:r>
          </w:p>
          <w:p w14:paraId="2E2D285E" w14:textId="77777777" w:rsidR="00443D56" w:rsidRPr="00FF5476" w:rsidRDefault="00443D56" w:rsidP="00AE6CF7">
            <w:pPr>
              <w:spacing w:before="100" w:beforeAutospacing="1" w:after="100" w:afterAutospacing="1"/>
              <w:jc w:val="left"/>
              <w:rPr>
                <w:rFonts w:cs="Arial"/>
                <w:color w:val="000000"/>
                <w:sz w:val="20"/>
                <w:szCs w:val="20"/>
              </w:rPr>
            </w:pPr>
            <w:r w:rsidRPr="00FF5476">
              <w:rPr>
                <w:rFonts w:cs="Arial"/>
                <w:color w:val="000000"/>
                <w:sz w:val="20"/>
                <w:szCs w:val="20"/>
              </w:rPr>
              <w:t>Is the successor MCO to handle pending grievances, appeals and member/provider service issues of an incumbent MCO?  If yes, please clarify why part e requires the incumbent MCO to have sufficient qualified staff for court and administrative hearing attendance?  Please confirm if it would be the incumbent MCO responsibility for resolving issues in part d?</w:t>
            </w:r>
          </w:p>
        </w:tc>
        <w:tc>
          <w:tcPr>
            <w:tcW w:w="1552" w:type="pct"/>
          </w:tcPr>
          <w:p w14:paraId="15727A03" w14:textId="77777777" w:rsidR="00443D56" w:rsidRPr="004736C5" w:rsidRDefault="003306ED" w:rsidP="00AE6CF7">
            <w:pPr>
              <w:pStyle w:val="Level1Body"/>
              <w:jc w:val="left"/>
              <w:rPr>
                <w:rFonts w:cs="Arial"/>
                <w:sz w:val="20"/>
              </w:rPr>
            </w:pPr>
            <w:r w:rsidRPr="004736C5">
              <w:rPr>
                <w:rFonts w:cs="Arial"/>
                <w:sz w:val="20"/>
              </w:rPr>
              <w:t>Incumbent MCOs are responsible for handling pending grievances, appeals</w:t>
            </w:r>
            <w:r w:rsidR="00244B40">
              <w:rPr>
                <w:rFonts w:cs="Arial"/>
                <w:sz w:val="20"/>
              </w:rPr>
              <w:t>,</w:t>
            </w:r>
            <w:r w:rsidRPr="004736C5">
              <w:rPr>
                <w:rFonts w:cs="Arial"/>
                <w:sz w:val="20"/>
              </w:rPr>
              <w:t xml:space="preserve"> and member/provider service issues.</w:t>
            </w:r>
          </w:p>
        </w:tc>
      </w:tr>
      <w:tr w:rsidR="00443D56" w:rsidRPr="00FF5476" w14:paraId="49BAB104" w14:textId="77777777" w:rsidTr="00F26B9E">
        <w:tc>
          <w:tcPr>
            <w:tcW w:w="5000" w:type="pct"/>
            <w:gridSpan w:val="5"/>
            <w:shd w:val="clear" w:color="auto" w:fill="D9D9D9" w:themeFill="background1" w:themeFillShade="D9"/>
          </w:tcPr>
          <w:p w14:paraId="477AB691" w14:textId="77777777" w:rsidR="00443D56" w:rsidRPr="004736C5" w:rsidRDefault="00443D56" w:rsidP="00443D56">
            <w:pPr>
              <w:pStyle w:val="Level1Body"/>
              <w:jc w:val="center"/>
              <w:rPr>
                <w:rFonts w:cs="Arial"/>
                <w:sz w:val="20"/>
              </w:rPr>
            </w:pPr>
            <w:r w:rsidRPr="004736C5">
              <w:rPr>
                <w:rFonts w:cs="Arial"/>
                <w:b/>
                <w:sz w:val="20"/>
              </w:rPr>
              <w:t>Section VI – Proposal Instructions</w:t>
            </w:r>
          </w:p>
        </w:tc>
      </w:tr>
      <w:tr w:rsidR="000D0B51" w:rsidRPr="00FF5476" w14:paraId="610EB40C" w14:textId="77777777" w:rsidTr="00AE6CF7">
        <w:tc>
          <w:tcPr>
            <w:tcW w:w="512" w:type="pct"/>
          </w:tcPr>
          <w:p w14:paraId="1A25C637" w14:textId="77777777" w:rsidR="00443D56" w:rsidRPr="00FF5476" w:rsidRDefault="00443D56" w:rsidP="00443D56">
            <w:pPr>
              <w:pStyle w:val="Level1Body"/>
              <w:numPr>
                <w:ilvl w:val="0"/>
                <w:numId w:val="42"/>
              </w:numPr>
              <w:rPr>
                <w:rFonts w:cs="Arial"/>
                <w:sz w:val="20"/>
              </w:rPr>
            </w:pPr>
          </w:p>
        </w:tc>
        <w:tc>
          <w:tcPr>
            <w:tcW w:w="820" w:type="pct"/>
          </w:tcPr>
          <w:p w14:paraId="3631E4B4" w14:textId="77777777" w:rsidR="00443D56" w:rsidRPr="00FF5476" w:rsidRDefault="000D0B51" w:rsidP="00AE6CF7">
            <w:pPr>
              <w:spacing w:line="252" w:lineRule="auto"/>
              <w:jc w:val="left"/>
              <w:rPr>
                <w:rFonts w:cs="Arial"/>
                <w:color w:val="000000"/>
                <w:sz w:val="20"/>
                <w:szCs w:val="20"/>
              </w:rPr>
            </w:pPr>
            <w:r>
              <w:rPr>
                <w:rFonts w:cs="Arial"/>
                <w:sz w:val="20"/>
                <w:szCs w:val="20"/>
              </w:rPr>
              <w:t xml:space="preserve">Section </w:t>
            </w:r>
            <w:r w:rsidR="00443D56" w:rsidRPr="00FF5476">
              <w:rPr>
                <w:rFonts w:cs="Arial"/>
                <w:sz w:val="20"/>
                <w:szCs w:val="20"/>
              </w:rPr>
              <w:t>VI.A.</w:t>
            </w:r>
            <w:r w:rsidR="0081334D">
              <w:rPr>
                <w:rFonts w:cs="Arial"/>
                <w:sz w:val="20"/>
                <w:szCs w:val="20"/>
              </w:rPr>
              <w:t>6.-</w:t>
            </w:r>
            <w:r w:rsidR="00443D56" w:rsidRPr="00FF5476">
              <w:rPr>
                <w:rFonts w:cs="Arial"/>
                <w:sz w:val="20"/>
                <w:szCs w:val="20"/>
              </w:rPr>
              <w:t xml:space="preserve"> Corporate Overview</w:t>
            </w:r>
          </w:p>
        </w:tc>
        <w:tc>
          <w:tcPr>
            <w:tcW w:w="652" w:type="pct"/>
          </w:tcPr>
          <w:p w14:paraId="331F9420" w14:textId="77777777" w:rsidR="00443D56" w:rsidRPr="00FF5476" w:rsidRDefault="00443D56" w:rsidP="00AE6CF7">
            <w:pPr>
              <w:jc w:val="left"/>
              <w:rPr>
                <w:rFonts w:cs="Arial"/>
                <w:color w:val="000000"/>
                <w:sz w:val="20"/>
                <w:szCs w:val="20"/>
              </w:rPr>
            </w:pPr>
            <w:r w:rsidRPr="00FF5476">
              <w:rPr>
                <w:rFonts w:cs="Arial"/>
                <w:sz w:val="20"/>
                <w:szCs w:val="20"/>
              </w:rPr>
              <w:t>173</w:t>
            </w:r>
          </w:p>
        </w:tc>
        <w:tc>
          <w:tcPr>
            <w:tcW w:w="1463" w:type="pct"/>
            <w:vAlign w:val="center"/>
          </w:tcPr>
          <w:p w14:paraId="5D825515" w14:textId="77777777" w:rsidR="00443D56" w:rsidRPr="00FF5476" w:rsidRDefault="00443D56" w:rsidP="00AE6CF7">
            <w:pPr>
              <w:spacing w:before="100" w:beforeAutospacing="1" w:after="100" w:afterAutospacing="1"/>
              <w:jc w:val="left"/>
              <w:rPr>
                <w:rFonts w:cs="Arial"/>
                <w:color w:val="000000"/>
                <w:sz w:val="20"/>
                <w:szCs w:val="20"/>
              </w:rPr>
            </w:pPr>
            <w:r w:rsidRPr="00FF5476">
              <w:rPr>
                <w:rFonts w:cs="Arial"/>
                <w:sz w:val="20"/>
                <w:szCs w:val="20"/>
              </w:rPr>
              <w:t xml:space="preserve">Please confirm that in VI.A. Corporate Overview, Question 6. Bidder’s Employee Relations to State, the state is looking to determine which bidder employees were employed by the state in the past 12 months, as well as which bidder and proposed subcontractor employees are dually employed by the bidder/subcontractor and a state agency. </w:t>
            </w:r>
          </w:p>
        </w:tc>
        <w:tc>
          <w:tcPr>
            <w:tcW w:w="1552" w:type="pct"/>
          </w:tcPr>
          <w:p w14:paraId="6C06EF14" w14:textId="77777777" w:rsidR="00443D56" w:rsidRPr="00FF5476" w:rsidRDefault="00EE451D" w:rsidP="00AE6CF7">
            <w:pPr>
              <w:pStyle w:val="Level1Body"/>
              <w:jc w:val="left"/>
              <w:rPr>
                <w:rFonts w:cs="Arial"/>
                <w:sz w:val="20"/>
              </w:rPr>
            </w:pPr>
            <w:r>
              <w:rPr>
                <w:rFonts w:cs="Arial"/>
                <w:sz w:val="20"/>
              </w:rPr>
              <w:t>Confirmed.</w:t>
            </w:r>
          </w:p>
        </w:tc>
      </w:tr>
      <w:tr w:rsidR="000D0B51" w:rsidRPr="00FF5476" w14:paraId="5C067444" w14:textId="77777777" w:rsidTr="00FA3BF6">
        <w:tc>
          <w:tcPr>
            <w:tcW w:w="512" w:type="pct"/>
          </w:tcPr>
          <w:p w14:paraId="0C1E0BDA" w14:textId="77777777" w:rsidR="00443D56" w:rsidRPr="00FF5476" w:rsidRDefault="00443D56" w:rsidP="00443D56">
            <w:pPr>
              <w:pStyle w:val="Level1Body"/>
              <w:numPr>
                <w:ilvl w:val="0"/>
                <w:numId w:val="42"/>
              </w:numPr>
              <w:rPr>
                <w:rFonts w:cs="Arial"/>
                <w:sz w:val="20"/>
              </w:rPr>
            </w:pPr>
          </w:p>
        </w:tc>
        <w:tc>
          <w:tcPr>
            <w:tcW w:w="820" w:type="pct"/>
          </w:tcPr>
          <w:p w14:paraId="77B9555A" w14:textId="77777777" w:rsidR="00443D56" w:rsidRPr="00FF5476" w:rsidRDefault="000D0B51" w:rsidP="00AE6CF7">
            <w:pPr>
              <w:jc w:val="left"/>
              <w:rPr>
                <w:rFonts w:cs="Arial"/>
                <w:sz w:val="20"/>
                <w:szCs w:val="20"/>
              </w:rPr>
            </w:pPr>
            <w:r>
              <w:rPr>
                <w:rFonts w:cs="Arial"/>
                <w:sz w:val="20"/>
                <w:szCs w:val="20"/>
              </w:rPr>
              <w:t xml:space="preserve">Section </w:t>
            </w:r>
            <w:r w:rsidR="00443D56" w:rsidRPr="00FF5476">
              <w:rPr>
                <w:rFonts w:cs="Arial"/>
                <w:sz w:val="20"/>
                <w:szCs w:val="20"/>
              </w:rPr>
              <w:t>VI.A.</w:t>
            </w:r>
            <w:r w:rsidR="0081334D">
              <w:rPr>
                <w:rFonts w:cs="Arial"/>
                <w:sz w:val="20"/>
                <w:szCs w:val="20"/>
              </w:rPr>
              <w:t xml:space="preserve">10. - </w:t>
            </w:r>
            <w:r w:rsidR="00443D56" w:rsidRPr="00FF5476">
              <w:rPr>
                <w:rFonts w:cs="Arial"/>
                <w:sz w:val="20"/>
                <w:szCs w:val="20"/>
              </w:rPr>
              <w:t xml:space="preserve"> Corporate Overview</w:t>
            </w:r>
          </w:p>
        </w:tc>
        <w:tc>
          <w:tcPr>
            <w:tcW w:w="652" w:type="pct"/>
          </w:tcPr>
          <w:p w14:paraId="1C0C4F84" w14:textId="77777777" w:rsidR="00443D56" w:rsidRPr="00FF5476" w:rsidRDefault="00443D56" w:rsidP="00AE6CF7">
            <w:pPr>
              <w:jc w:val="left"/>
              <w:rPr>
                <w:rFonts w:cs="Arial"/>
                <w:sz w:val="20"/>
                <w:szCs w:val="20"/>
              </w:rPr>
            </w:pPr>
            <w:r w:rsidRPr="00FF5476">
              <w:rPr>
                <w:rFonts w:cs="Arial"/>
                <w:sz w:val="20"/>
                <w:szCs w:val="20"/>
              </w:rPr>
              <w:t>175</w:t>
            </w:r>
          </w:p>
        </w:tc>
        <w:tc>
          <w:tcPr>
            <w:tcW w:w="1463" w:type="pct"/>
          </w:tcPr>
          <w:p w14:paraId="1F532B22" w14:textId="77777777" w:rsidR="00443D56" w:rsidRPr="00FF5476" w:rsidRDefault="00443D56" w:rsidP="00FA3BF6">
            <w:pPr>
              <w:jc w:val="left"/>
              <w:rPr>
                <w:rFonts w:cs="Arial"/>
                <w:sz w:val="20"/>
                <w:szCs w:val="20"/>
              </w:rPr>
            </w:pPr>
            <w:r w:rsidRPr="00FF5476">
              <w:rPr>
                <w:rFonts w:cs="Arial"/>
                <w:sz w:val="20"/>
                <w:szCs w:val="20"/>
              </w:rPr>
              <w:t>With respect to question 10. Subcontractors, please confirm the State is seeking information about individuals or entities delegated to perform core services required by the contract, and that vendors for administrative services are excluded from this question.</w:t>
            </w:r>
          </w:p>
        </w:tc>
        <w:tc>
          <w:tcPr>
            <w:tcW w:w="1552" w:type="pct"/>
          </w:tcPr>
          <w:p w14:paraId="54AA8952" w14:textId="77777777" w:rsidR="00EE451D" w:rsidRDefault="00EE451D" w:rsidP="00D6279A">
            <w:pPr>
              <w:pStyle w:val="Level1Body"/>
              <w:jc w:val="left"/>
              <w:rPr>
                <w:rFonts w:cs="Arial"/>
                <w:sz w:val="20"/>
              </w:rPr>
            </w:pPr>
            <w:r w:rsidRPr="00EE451D">
              <w:rPr>
                <w:rFonts w:cs="Arial"/>
                <w:sz w:val="20"/>
              </w:rPr>
              <w:t xml:space="preserve">Bidders should provide </w:t>
            </w:r>
            <w:r w:rsidR="00D6279A">
              <w:rPr>
                <w:rFonts w:cs="Arial"/>
                <w:sz w:val="20"/>
              </w:rPr>
              <w:t xml:space="preserve">the identified </w:t>
            </w:r>
            <w:r w:rsidRPr="00EE451D">
              <w:rPr>
                <w:rFonts w:cs="Arial"/>
                <w:sz w:val="20"/>
              </w:rPr>
              <w:t xml:space="preserve">information about individuals or entities who fit the definition of </w:t>
            </w:r>
            <w:r w:rsidRPr="00D6279A">
              <w:rPr>
                <w:rFonts w:cs="Arial"/>
                <w:sz w:val="20"/>
              </w:rPr>
              <w:t>“subcontractor” as defined in the Glossary of Terms: “</w:t>
            </w:r>
            <w:r w:rsidR="00D6279A">
              <w:rPr>
                <w:sz w:val="20"/>
              </w:rPr>
              <w:t>Individual or entity with w</w:t>
            </w:r>
            <w:r w:rsidRPr="00EE451D">
              <w:rPr>
                <w:sz w:val="20"/>
              </w:rPr>
              <w:t xml:space="preserve">hom the contractor enters a contract to </w:t>
            </w:r>
            <w:r w:rsidRPr="00EE451D">
              <w:rPr>
                <w:b/>
                <w:sz w:val="20"/>
              </w:rPr>
              <w:t>perform a portion of the work awarded</w:t>
            </w:r>
            <w:r>
              <w:rPr>
                <w:sz w:val="20"/>
              </w:rPr>
              <w:t xml:space="preserve"> to the contractor</w:t>
            </w:r>
            <w:r w:rsidRPr="00EE451D">
              <w:rPr>
                <w:sz w:val="20"/>
              </w:rPr>
              <w:t>”</w:t>
            </w:r>
            <w:r>
              <w:rPr>
                <w:rFonts w:cs="Arial"/>
                <w:sz w:val="20"/>
              </w:rPr>
              <w:t xml:space="preserve"> (emphasis added). E</w:t>
            </w:r>
            <w:r w:rsidR="00D6279A">
              <w:rPr>
                <w:rFonts w:cs="Arial"/>
                <w:sz w:val="20"/>
              </w:rPr>
              <w:t xml:space="preserve">ntities who perform </w:t>
            </w:r>
            <w:r w:rsidRPr="00EE451D">
              <w:rPr>
                <w:rFonts w:cs="Arial"/>
                <w:sz w:val="20"/>
              </w:rPr>
              <w:t xml:space="preserve">ancillary functions for an MCO are not “subcontractors.” </w:t>
            </w:r>
          </w:p>
          <w:p w14:paraId="2D63040E" w14:textId="77777777" w:rsidR="00150E62" w:rsidRDefault="00150E62" w:rsidP="00D6279A">
            <w:pPr>
              <w:pStyle w:val="Level1Body"/>
              <w:jc w:val="left"/>
              <w:rPr>
                <w:rFonts w:cs="Arial"/>
                <w:sz w:val="20"/>
              </w:rPr>
            </w:pPr>
          </w:p>
          <w:p w14:paraId="4A9F4AD4" w14:textId="77777777" w:rsidR="00150E62" w:rsidRPr="00EE451D" w:rsidRDefault="00150E62" w:rsidP="00D6279A">
            <w:pPr>
              <w:pStyle w:val="Level1Body"/>
              <w:jc w:val="left"/>
              <w:rPr>
                <w:rFonts w:cs="Arial"/>
                <w:sz w:val="20"/>
              </w:rPr>
            </w:pPr>
            <w:r>
              <w:rPr>
                <w:rFonts w:cs="Arial"/>
                <w:sz w:val="20"/>
              </w:rPr>
              <w:t xml:space="preserve">Refer to the </w:t>
            </w:r>
            <w:r w:rsidRPr="00150E62">
              <w:rPr>
                <w:rFonts w:cs="Arial"/>
                <w:sz w:val="20"/>
              </w:rPr>
              <w:t>State Response to Question Number 64 of Addendum One Questions and Answers</w:t>
            </w:r>
            <w:r>
              <w:rPr>
                <w:rFonts w:cs="Arial"/>
                <w:sz w:val="20"/>
              </w:rPr>
              <w:t>.</w:t>
            </w:r>
          </w:p>
        </w:tc>
      </w:tr>
      <w:tr w:rsidR="000D0B51" w:rsidRPr="00FF5476" w14:paraId="12E32DC8" w14:textId="77777777" w:rsidTr="00150E62">
        <w:tc>
          <w:tcPr>
            <w:tcW w:w="512" w:type="pct"/>
          </w:tcPr>
          <w:p w14:paraId="7EA738F4" w14:textId="77777777" w:rsidR="00443D56" w:rsidRPr="00FF5476" w:rsidRDefault="00443D56" w:rsidP="00443D56">
            <w:pPr>
              <w:pStyle w:val="Level1Body"/>
              <w:numPr>
                <w:ilvl w:val="0"/>
                <w:numId w:val="42"/>
              </w:numPr>
              <w:rPr>
                <w:rFonts w:cs="Arial"/>
                <w:sz w:val="20"/>
              </w:rPr>
            </w:pPr>
          </w:p>
        </w:tc>
        <w:tc>
          <w:tcPr>
            <w:tcW w:w="820" w:type="pct"/>
          </w:tcPr>
          <w:p w14:paraId="7040EA30" w14:textId="77777777" w:rsidR="00443D56" w:rsidRPr="00FF5476" w:rsidRDefault="000D0B51" w:rsidP="00150E62">
            <w:pPr>
              <w:jc w:val="left"/>
              <w:rPr>
                <w:rFonts w:cs="Arial"/>
                <w:sz w:val="20"/>
                <w:szCs w:val="20"/>
              </w:rPr>
            </w:pPr>
            <w:r>
              <w:rPr>
                <w:rFonts w:cs="Arial"/>
                <w:sz w:val="20"/>
                <w:szCs w:val="20"/>
              </w:rPr>
              <w:t xml:space="preserve">Section </w:t>
            </w:r>
            <w:r w:rsidR="00443D56" w:rsidRPr="00FF5476">
              <w:rPr>
                <w:rFonts w:cs="Arial"/>
                <w:sz w:val="20"/>
                <w:szCs w:val="20"/>
              </w:rPr>
              <w:t>VI.A.</w:t>
            </w:r>
            <w:r w:rsidR="0081334D">
              <w:rPr>
                <w:rFonts w:cs="Arial"/>
                <w:sz w:val="20"/>
                <w:szCs w:val="20"/>
              </w:rPr>
              <w:t xml:space="preserve">10.c. - </w:t>
            </w:r>
            <w:r w:rsidR="00443D56" w:rsidRPr="00FF5476">
              <w:rPr>
                <w:rFonts w:cs="Arial"/>
                <w:sz w:val="20"/>
                <w:szCs w:val="20"/>
              </w:rPr>
              <w:t xml:space="preserve"> Corporate Overview</w:t>
            </w:r>
          </w:p>
        </w:tc>
        <w:tc>
          <w:tcPr>
            <w:tcW w:w="652" w:type="pct"/>
          </w:tcPr>
          <w:p w14:paraId="056535E4" w14:textId="77777777" w:rsidR="00443D56" w:rsidRPr="00FF5476" w:rsidRDefault="00443D56" w:rsidP="00AE6CF7">
            <w:pPr>
              <w:jc w:val="left"/>
              <w:rPr>
                <w:rFonts w:cs="Arial"/>
                <w:sz w:val="20"/>
                <w:szCs w:val="20"/>
              </w:rPr>
            </w:pPr>
            <w:r w:rsidRPr="00FF5476">
              <w:rPr>
                <w:rFonts w:cs="Arial"/>
                <w:sz w:val="20"/>
                <w:szCs w:val="20"/>
              </w:rPr>
              <w:t>175</w:t>
            </w:r>
          </w:p>
        </w:tc>
        <w:tc>
          <w:tcPr>
            <w:tcW w:w="1463" w:type="pct"/>
          </w:tcPr>
          <w:p w14:paraId="16D12873" w14:textId="77777777" w:rsidR="00443D56" w:rsidRPr="00FF5476" w:rsidRDefault="00443D56" w:rsidP="00150E62">
            <w:pPr>
              <w:jc w:val="left"/>
              <w:rPr>
                <w:rFonts w:cs="Arial"/>
                <w:sz w:val="20"/>
                <w:szCs w:val="20"/>
              </w:rPr>
            </w:pPr>
            <w:r w:rsidRPr="00FF5476">
              <w:rPr>
                <w:rFonts w:cs="Arial"/>
                <w:sz w:val="20"/>
                <w:szCs w:val="20"/>
              </w:rPr>
              <w:t>Please clarify how the state defines “percentage of performance hours.”</w:t>
            </w:r>
          </w:p>
        </w:tc>
        <w:tc>
          <w:tcPr>
            <w:tcW w:w="1552" w:type="pct"/>
          </w:tcPr>
          <w:p w14:paraId="7109753A" w14:textId="77777777" w:rsidR="00443D56" w:rsidRPr="00FF5476" w:rsidRDefault="003A637C" w:rsidP="003A637C">
            <w:pPr>
              <w:pStyle w:val="Level1Body"/>
              <w:jc w:val="left"/>
              <w:rPr>
                <w:rFonts w:cs="Arial"/>
                <w:sz w:val="20"/>
              </w:rPr>
            </w:pPr>
            <w:r>
              <w:rPr>
                <w:rFonts w:cs="Arial"/>
                <w:sz w:val="20"/>
              </w:rPr>
              <w:t xml:space="preserve">With this section, MLTC is seeking to understand how subcontractors will be utilized by the MCO. Any method for assisting MLTC in understanding the </w:t>
            </w:r>
            <w:r>
              <w:rPr>
                <w:rFonts w:cs="Arial"/>
                <w:sz w:val="20"/>
              </w:rPr>
              <w:lastRenderedPageBreak/>
              <w:t>breakdown of work</w:t>
            </w:r>
            <w:r w:rsidR="00150E62">
              <w:rPr>
                <w:rFonts w:cs="Arial"/>
                <w:sz w:val="20"/>
              </w:rPr>
              <w:t xml:space="preserve"> or performance</w:t>
            </w:r>
            <w:r>
              <w:rPr>
                <w:rFonts w:cs="Arial"/>
                <w:sz w:val="20"/>
              </w:rPr>
              <w:t xml:space="preserve"> between subcontractors and the MCO may be utilized. </w:t>
            </w:r>
          </w:p>
        </w:tc>
      </w:tr>
      <w:tr w:rsidR="00443D56" w:rsidRPr="00FF5476" w14:paraId="6E10C243" w14:textId="77777777" w:rsidTr="00F26B9E">
        <w:tc>
          <w:tcPr>
            <w:tcW w:w="5000" w:type="pct"/>
            <w:gridSpan w:val="5"/>
            <w:shd w:val="clear" w:color="auto" w:fill="D9D9D9" w:themeFill="background1" w:themeFillShade="D9"/>
          </w:tcPr>
          <w:p w14:paraId="306000F0" w14:textId="77777777" w:rsidR="00443D56" w:rsidRDefault="00443D56" w:rsidP="00443D56">
            <w:pPr>
              <w:pStyle w:val="Level1Body"/>
              <w:jc w:val="center"/>
              <w:rPr>
                <w:rFonts w:cs="Arial"/>
                <w:sz w:val="20"/>
              </w:rPr>
            </w:pPr>
            <w:r>
              <w:rPr>
                <w:rFonts w:cs="Arial"/>
                <w:b/>
              </w:rPr>
              <w:lastRenderedPageBreak/>
              <w:t>Attachments</w:t>
            </w:r>
          </w:p>
        </w:tc>
      </w:tr>
      <w:tr w:rsidR="000D0B51" w:rsidRPr="00FF5476" w14:paraId="11991AE0" w14:textId="77777777" w:rsidTr="004736C5">
        <w:tc>
          <w:tcPr>
            <w:tcW w:w="512" w:type="pct"/>
          </w:tcPr>
          <w:p w14:paraId="13F984B2" w14:textId="77777777" w:rsidR="00443D56" w:rsidRPr="00FF5476" w:rsidRDefault="00443D56" w:rsidP="00443D56">
            <w:pPr>
              <w:pStyle w:val="Level1Body"/>
              <w:numPr>
                <w:ilvl w:val="0"/>
                <w:numId w:val="42"/>
              </w:numPr>
              <w:rPr>
                <w:rFonts w:cs="Arial"/>
                <w:sz w:val="20"/>
              </w:rPr>
            </w:pPr>
          </w:p>
        </w:tc>
        <w:tc>
          <w:tcPr>
            <w:tcW w:w="820" w:type="pct"/>
          </w:tcPr>
          <w:p w14:paraId="666459FB" w14:textId="77777777" w:rsidR="00443D56" w:rsidRPr="00FF5476" w:rsidRDefault="00443D56" w:rsidP="00AE6CF7">
            <w:pPr>
              <w:jc w:val="left"/>
              <w:rPr>
                <w:rFonts w:cs="Arial"/>
                <w:sz w:val="20"/>
                <w:szCs w:val="20"/>
              </w:rPr>
            </w:pPr>
            <w:r w:rsidRPr="00FF5476">
              <w:rPr>
                <w:rFonts w:cs="Arial"/>
                <w:sz w:val="20"/>
                <w:szCs w:val="20"/>
              </w:rPr>
              <w:t>Attachment 10</w:t>
            </w:r>
          </w:p>
        </w:tc>
        <w:tc>
          <w:tcPr>
            <w:tcW w:w="652" w:type="pct"/>
          </w:tcPr>
          <w:p w14:paraId="32DCF0AA" w14:textId="77777777" w:rsidR="00443D56" w:rsidRPr="00FF5476" w:rsidRDefault="00443D56" w:rsidP="00AE6CF7">
            <w:pPr>
              <w:jc w:val="left"/>
              <w:rPr>
                <w:rFonts w:cs="Arial"/>
                <w:sz w:val="20"/>
                <w:szCs w:val="20"/>
              </w:rPr>
            </w:pPr>
          </w:p>
        </w:tc>
        <w:tc>
          <w:tcPr>
            <w:tcW w:w="1463" w:type="pct"/>
          </w:tcPr>
          <w:p w14:paraId="6109749C" w14:textId="77777777" w:rsidR="00443D56" w:rsidRPr="00FF5476" w:rsidRDefault="00443D56" w:rsidP="00AE6CF7">
            <w:pPr>
              <w:jc w:val="left"/>
              <w:rPr>
                <w:rFonts w:cs="Arial"/>
                <w:sz w:val="20"/>
                <w:szCs w:val="20"/>
              </w:rPr>
            </w:pPr>
            <w:r w:rsidRPr="00FF5476">
              <w:rPr>
                <w:rFonts w:cs="Arial"/>
                <w:sz w:val="20"/>
                <w:szCs w:val="20"/>
              </w:rPr>
              <w:t>Do liquidated damages listed in Attachment 10 apply to the Optional FFS Claims Processing business?</w:t>
            </w:r>
          </w:p>
        </w:tc>
        <w:tc>
          <w:tcPr>
            <w:tcW w:w="1552" w:type="pct"/>
          </w:tcPr>
          <w:p w14:paraId="42CB701F" w14:textId="77777777" w:rsidR="00443D56" w:rsidRPr="004736C5" w:rsidRDefault="009E30CC" w:rsidP="004736C5">
            <w:pPr>
              <w:pStyle w:val="Level1Body"/>
              <w:jc w:val="left"/>
              <w:rPr>
                <w:rFonts w:cs="Arial"/>
                <w:sz w:val="20"/>
              </w:rPr>
            </w:pPr>
            <w:r w:rsidRPr="004736C5">
              <w:rPr>
                <w:rFonts w:cs="Arial"/>
                <w:sz w:val="20"/>
              </w:rPr>
              <w:t>The liquidated damages listed in Attachment 10 do not apply to the Optional FFS Claims Processing business.</w:t>
            </w:r>
          </w:p>
        </w:tc>
      </w:tr>
      <w:tr w:rsidR="0081334D" w:rsidRPr="00FF5476" w14:paraId="3AAFF7F4" w14:textId="77777777" w:rsidTr="004736C5">
        <w:tc>
          <w:tcPr>
            <w:tcW w:w="512" w:type="pct"/>
          </w:tcPr>
          <w:p w14:paraId="39A8AD09" w14:textId="77777777" w:rsidR="00443D56" w:rsidRPr="00FF5476" w:rsidRDefault="00443D56" w:rsidP="00443D56">
            <w:pPr>
              <w:pStyle w:val="Level1Body"/>
              <w:numPr>
                <w:ilvl w:val="0"/>
                <w:numId w:val="42"/>
              </w:numPr>
              <w:rPr>
                <w:rFonts w:cs="Arial"/>
                <w:sz w:val="20"/>
              </w:rPr>
            </w:pPr>
          </w:p>
        </w:tc>
        <w:tc>
          <w:tcPr>
            <w:tcW w:w="820" w:type="pct"/>
          </w:tcPr>
          <w:p w14:paraId="17030BD0" w14:textId="77777777" w:rsidR="00443D56" w:rsidRPr="00FF5476" w:rsidRDefault="00443D56" w:rsidP="00AE6CF7">
            <w:pPr>
              <w:jc w:val="left"/>
              <w:rPr>
                <w:rFonts w:cs="Arial"/>
                <w:sz w:val="20"/>
                <w:szCs w:val="20"/>
              </w:rPr>
            </w:pPr>
            <w:r w:rsidRPr="00FF5476">
              <w:rPr>
                <w:rFonts w:cs="Arial"/>
                <w:color w:val="000000"/>
                <w:sz w:val="20"/>
                <w:szCs w:val="20"/>
              </w:rPr>
              <w:t>Attachment 14 Geographic Access Standards</w:t>
            </w:r>
          </w:p>
        </w:tc>
        <w:tc>
          <w:tcPr>
            <w:tcW w:w="652" w:type="pct"/>
          </w:tcPr>
          <w:p w14:paraId="6AE8E05C" w14:textId="77777777" w:rsidR="00443D56" w:rsidRPr="00FF5476" w:rsidRDefault="00443D56" w:rsidP="00AE6CF7">
            <w:pPr>
              <w:jc w:val="left"/>
              <w:rPr>
                <w:rFonts w:cs="Arial"/>
                <w:sz w:val="20"/>
                <w:szCs w:val="20"/>
              </w:rPr>
            </w:pPr>
            <w:r w:rsidRPr="00FF5476">
              <w:rPr>
                <w:rFonts w:cs="Arial"/>
                <w:color w:val="000000"/>
                <w:sz w:val="20"/>
                <w:szCs w:val="20"/>
              </w:rPr>
              <w:t>Page 2, item 4.</w:t>
            </w:r>
          </w:p>
        </w:tc>
        <w:tc>
          <w:tcPr>
            <w:tcW w:w="1463" w:type="pct"/>
          </w:tcPr>
          <w:p w14:paraId="02F4134D" w14:textId="77777777" w:rsidR="00443D56" w:rsidRPr="00FF5476" w:rsidRDefault="00443D56" w:rsidP="00AE6CF7">
            <w:pPr>
              <w:jc w:val="left"/>
              <w:rPr>
                <w:rFonts w:cs="Arial"/>
                <w:sz w:val="20"/>
                <w:szCs w:val="20"/>
              </w:rPr>
            </w:pPr>
            <w:r w:rsidRPr="00FF5476">
              <w:rPr>
                <w:rFonts w:cs="Arial"/>
                <w:color w:val="000000"/>
                <w:sz w:val="20"/>
                <w:szCs w:val="20"/>
              </w:rPr>
              <w:t xml:space="preserve">Can you advise what the access standard is for behavioral health inpatient and residential service providers in the Urban areas?  Rural and Frontier areas are listed, but there is no requirement for Urban specifically.  </w:t>
            </w:r>
          </w:p>
        </w:tc>
        <w:tc>
          <w:tcPr>
            <w:tcW w:w="1552" w:type="pct"/>
          </w:tcPr>
          <w:p w14:paraId="68951769" w14:textId="77777777" w:rsidR="00443D56" w:rsidRPr="004736C5" w:rsidRDefault="003306ED" w:rsidP="004736C5">
            <w:pPr>
              <w:pStyle w:val="Level1Body"/>
              <w:jc w:val="left"/>
              <w:rPr>
                <w:rFonts w:cs="Arial"/>
                <w:sz w:val="20"/>
              </w:rPr>
            </w:pPr>
            <w:r w:rsidRPr="004736C5">
              <w:rPr>
                <w:sz w:val="20"/>
              </w:rPr>
              <w:t xml:space="preserve">The MCO must, at a minimum, contract with an adequate number of behavioral health … treatment providers to meet the needs of its members and offer a choice of providers. </w:t>
            </w:r>
            <w:r w:rsidRPr="00150E62">
              <w:rPr>
                <w:sz w:val="20"/>
              </w:rPr>
              <w:t xml:space="preserve">The MCO must provide access to a minimum of two (2) providers within thirty (30) miles of members’ personal residences in urban areas; </w:t>
            </w:r>
            <w:r w:rsidRPr="004736C5">
              <w:rPr>
                <w:sz w:val="20"/>
              </w:rPr>
              <w:t>a minimum of two (2) providers within forty-five (45) miles of members’ personal residences in rural counties, and a minimum of two (2) providers within sixty (60) miles of members’ personal residences in frontier counties. If the rural or frontier requirements cannot be met because of a lack of behavioral health providers in those counties, the MCO must utilize telehealth options.</w:t>
            </w:r>
          </w:p>
        </w:tc>
      </w:tr>
      <w:tr w:rsidR="000D0B51" w:rsidRPr="00FF5476" w14:paraId="66E65BA5" w14:textId="77777777" w:rsidTr="004736C5">
        <w:tc>
          <w:tcPr>
            <w:tcW w:w="512" w:type="pct"/>
          </w:tcPr>
          <w:p w14:paraId="0BC83033" w14:textId="77777777" w:rsidR="00443D56" w:rsidRPr="00FF5476" w:rsidRDefault="00443D56" w:rsidP="00443D56">
            <w:pPr>
              <w:pStyle w:val="Level1Body"/>
              <w:numPr>
                <w:ilvl w:val="0"/>
                <w:numId w:val="42"/>
              </w:numPr>
              <w:rPr>
                <w:rFonts w:cs="Arial"/>
                <w:sz w:val="20"/>
              </w:rPr>
            </w:pPr>
          </w:p>
        </w:tc>
        <w:tc>
          <w:tcPr>
            <w:tcW w:w="820" w:type="pct"/>
          </w:tcPr>
          <w:p w14:paraId="19EDBEDD" w14:textId="77777777" w:rsidR="00443D56" w:rsidRPr="00FF5476" w:rsidRDefault="00443D56" w:rsidP="00AE6CF7">
            <w:pPr>
              <w:spacing w:line="252" w:lineRule="auto"/>
              <w:jc w:val="left"/>
              <w:rPr>
                <w:rFonts w:cs="Arial"/>
                <w:sz w:val="20"/>
                <w:szCs w:val="20"/>
              </w:rPr>
            </w:pPr>
            <w:r w:rsidRPr="00FF5476">
              <w:rPr>
                <w:rFonts w:cs="Arial"/>
                <w:color w:val="000000"/>
                <w:sz w:val="20"/>
                <w:szCs w:val="20"/>
              </w:rPr>
              <w:t>Attachment 21</w:t>
            </w:r>
          </w:p>
        </w:tc>
        <w:tc>
          <w:tcPr>
            <w:tcW w:w="652" w:type="pct"/>
          </w:tcPr>
          <w:p w14:paraId="50BFEFD0" w14:textId="77777777" w:rsidR="00443D56" w:rsidRPr="00FF5476" w:rsidRDefault="00443D56" w:rsidP="00AE6CF7">
            <w:pPr>
              <w:jc w:val="left"/>
              <w:rPr>
                <w:rFonts w:cs="Arial"/>
                <w:sz w:val="20"/>
                <w:szCs w:val="20"/>
              </w:rPr>
            </w:pPr>
            <w:r w:rsidRPr="00FF5476">
              <w:rPr>
                <w:rFonts w:cs="Arial"/>
                <w:color w:val="000000"/>
                <w:sz w:val="20"/>
                <w:szCs w:val="20"/>
              </w:rPr>
              <w:t>Expansion and HIPP risk corridor</w:t>
            </w:r>
          </w:p>
        </w:tc>
        <w:tc>
          <w:tcPr>
            <w:tcW w:w="1463" w:type="pct"/>
          </w:tcPr>
          <w:p w14:paraId="6E5FDBFF" w14:textId="77777777" w:rsidR="00443D56" w:rsidRPr="00FF5476" w:rsidRDefault="00443D56" w:rsidP="00AE6CF7">
            <w:pPr>
              <w:spacing w:line="252" w:lineRule="auto"/>
              <w:jc w:val="left"/>
              <w:rPr>
                <w:rFonts w:cs="Arial"/>
                <w:sz w:val="20"/>
                <w:szCs w:val="20"/>
              </w:rPr>
            </w:pPr>
            <w:r w:rsidRPr="00FF5476">
              <w:rPr>
                <w:rFonts w:cs="Arial"/>
                <w:color w:val="000000"/>
                <w:sz w:val="20"/>
                <w:szCs w:val="20"/>
              </w:rPr>
              <w:t>Please provide the detail for the expansion and HIPP risk corridors that displays the details of what is included in revenue and costs, similar to the program-wide risk corridor template.</w:t>
            </w:r>
          </w:p>
        </w:tc>
        <w:tc>
          <w:tcPr>
            <w:tcW w:w="1552" w:type="pct"/>
          </w:tcPr>
          <w:p w14:paraId="6E87B2E1" w14:textId="77777777" w:rsidR="00983D92" w:rsidRPr="00983D92" w:rsidRDefault="00602C28" w:rsidP="00983D92">
            <w:pPr>
              <w:pStyle w:val="Level1Body"/>
              <w:jc w:val="left"/>
              <w:rPr>
                <w:sz w:val="20"/>
              </w:rPr>
            </w:pPr>
            <w:r w:rsidRPr="004736C5">
              <w:rPr>
                <w:sz w:val="20"/>
              </w:rPr>
              <w:t>Please see Attachment 23</w:t>
            </w:r>
            <w:r w:rsidR="00983D92">
              <w:rPr>
                <w:sz w:val="20"/>
              </w:rPr>
              <w:t>, which is attached to this Q&amp;A Addendum and hereby incorporated into the RFP.</w:t>
            </w:r>
          </w:p>
        </w:tc>
      </w:tr>
      <w:tr w:rsidR="000D0B51" w:rsidRPr="00FF5476" w14:paraId="3BB29ECA" w14:textId="77777777" w:rsidTr="004736C5">
        <w:tc>
          <w:tcPr>
            <w:tcW w:w="512" w:type="pct"/>
          </w:tcPr>
          <w:p w14:paraId="2E56B72A" w14:textId="77777777" w:rsidR="00443D56" w:rsidRPr="00FF5476" w:rsidRDefault="00443D56" w:rsidP="00443D56">
            <w:pPr>
              <w:pStyle w:val="Level1Body"/>
              <w:numPr>
                <w:ilvl w:val="0"/>
                <w:numId w:val="42"/>
              </w:numPr>
              <w:rPr>
                <w:rFonts w:cs="Arial"/>
                <w:sz w:val="20"/>
              </w:rPr>
            </w:pPr>
          </w:p>
        </w:tc>
        <w:tc>
          <w:tcPr>
            <w:tcW w:w="820" w:type="pct"/>
          </w:tcPr>
          <w:p w14:paraId="4FBD8127" w14:textId="77777777" w:rsidR="00443D56" w:rsidRPr="00FF5476" w:rsidRDefault="00443D56" w:rsidP="00AE6CF7">
            <w:pPr>
              <w:spacing w:line="252" w:lineRule="auto"/>
              <w:jc w:val="left"/>
              <w:rPr>
                <w:rFonts w:cs="Arial"/>
                <w:sz w:val="20"/>
                <w:szCs w:val="20"/>
              </w:rPr>
            </w:pPr>
            <w:r w:rsidRPr="00FF5476">
              <w:rPr>
                <w:rFonts w:cs="Arial"/>
                <w:color w:val="000000"/>
                <w:sz w:val="20"/>
                <w:szCs w:val="20"/>
              </w:rPr>
              <w:t>Attachment 21</w:t>
            </w:r>
            <w:r w:rsidRPr="00FF5476">
              <w:rPr>
                <w:rFonts w:cs="Arial"/>
                <w:color w:val="000000"/>
                <w:sz w:val="20"/>
                <w:szCs w:val="20"/>
              </w:rPr>
              <w:br/>
            </w:r>
            <w:r w:rsidRPr="00FF5476">
              <w:rPr>
                <w:rFonts w:cs="Arial"/>
                <w:color w:val="000000"/>
                <w:sz w:val="20"/>
                <w:szCs w:val="20"/>
              </w:rPr>
              <w:br/>
              <w:t>RFP - Definitions</w:t>
            </w:r>
          </w:p>
        </w:tc>
        <w:tc>
          <w:tcPr>
            <w:tcW w:w="652" w:type="pct"/>
          </w:tcPr>
          <w:p w14:paraId="3410862B" w14:textId="77777777" w:rsidR="00443D56" w:rsidRPr="00FF5476" w:rsidRDefault="00443D56" w:rsidP="00AE6CF7">
            <w:pPr>
              <w:jc w:val="left"/>
              <w:rPr>
                <w:rFonts w:cs="Arial"/>
                <w:sz w:val="20"/>
                <w:szCs w:val="20"/>
              </w:rPr>
            </w:pPr>
            <w:r w:rsidRPr="00FF5476">
              <w:rPr>
                <w:rFonts w:cs="Arial"/>
                <w:color w:val="000000"/>
                <w:sz w:val="20"/>
                <w:szCs w:val="20"/>
              </w:rPr>
              <w:t>PW RC and MLR Calc Examples</w:t>
            </w:r>
            <w:r w:rsidRPr="00FF5476">
              <w:rPr>
                <w:rFonts w:cs="Arial"/>
                <w:color w:val="000000"/>
                <w:sz w:val="20"/>
                <w:szCs w:val="20"/>
              </w:rPr>
              <w:br/>
              <w:t>Page xii of the RFP</w:t>
            </w:r>
          </w:p>
        </w:tc>
        <w:tc>
          <w:tcPr>
            <w:tcW w:w="1463" w:type="pct"/>
          </w:tcPr>
          <w:p w14:paraId="78F7E0A8" w14:textId="77777777" w:rsidR="00443D56" w:rsidRPr="00FF5476" w:rsidRDefault="00443D56" w:rsidP="00AE6CF7">
            <w:pPr>
              <w:spacing w:line="252" w:lineRule="auto"/>
              <w:jc w:val="left"/>
              <w:rPr>
                <w:rFonts w:cs="Arial"/>
                <w:sz w:val="20"/>
                <w:szCs w:val="20"/>
              </w:rPr>
            </w:pPr>
            <w:r w:rsidRPr="00FF5476">
              <w:rPr>
                <w:rFonts w:cs="Arial"/>
                <w:color w:val="000000"/>
                <w:sz w:val="20"/>
                <w:szCs w:val="20"/>
              </w:rPr>
              <w:t xml:space="preserve">There is no row for "Medical Incentive Bonus" in the components of the total medical expenses in the program-wide risk corridor.  </w:t>
            </w:r>
            <w:r w:rsidRPr="00FF5476">
              <w:rPr>
                <w:rFonts w:cs="Arial"/>
                <w:color w:val="000000"/>
                <w:sz w:val="20"/>
                <w:szCs w:val="20"/>
              </w:rPr>
              <w:br/>
            </w:r>
            <w:r w:rsidRPr="00FF5476">
              <w:rPr>
                <w:rFonts w:cs="Arial"/>
                <w:color w:val="000000"/>
                <w:sz w:val="20"/>
                <w:szCs w:val="20"/>
              </w:rPr>
              <w:br/>
              <w:t xml:space="preserve">The definitions for both net qualified medical expense (for the medical loss ratio) and net qualified expense (for the risk corridor) include medical incentive bonuses.  </w:t>
            </w:r>
            <w:r w:rsidRPr="00FF5476">
              <w:rPr>
                <w:rFonts w:cs="Arial"/>
                <w:color w:val="000000"/>
                <w:sz w:val="20"/>
                <w:szCs w:val="20"/>
              </w:rPr>
              <w:br/>
            </w:r>
            <w:r w:rsidRPr="00FF5476">
              <w:rPr>
                <w:rFonts w:cs="Arial"/>
                <w:color w:val="000000"/>
                <w:sz w:val="20"/>
                <w:szCs w:val="20"/>
              </w:rPr>
              <w:br/>
              <w:t>Please clarify if these expenses will be allowed to count toward net qualified medical expenses for reconciliation purposes.</w:t>
            </w:r>
          </w:p>
        </w:tc>
        <w:tc>
          <w:tcPr>
            <w:tcW w:w="1552" w:type="pct"/>
          </w:tcPr>
          <w:p w14:paraId="58728058" w14:textId="77777777" w:rsidR="00443D56" w:rsidRPr="004736C5" w:rsidRDefault="000D0C72" w:rsidP="00244B40">
            <w:pPr>
              <w:pStyle w:val="Level1Body"/>
              <w:jc w:val="left"/>
              <w:rPr>
                <w:rFonts w:cs="Arial"/>
                <w:sz w:val="20"/>
              </w:rPr>
            </w:pPr>
            <w:r w:rsidRPr="004736C5">
              <w:rPr>
                <w:rFonts w:cs="Arial"/>
                <w:color w:val="auto"/>
                <w:sz w:val="20"/>
              </w:rPr>
              <w:t xml:space="preserve">MLTC can confirm that Medical Incentive Bonus payments count toward the net qualified medical expenses for reconciliation purposes. These would be included within the “Non-Claim Medical Payments (e.g. CAH settlements, etc.)” line in the information provided in </w:t>
            </w:r>
            <w:r w:rsidR="009E30CC" w:rsidRPr="004736C5">
              <w:rPr>
                <w:rFonts w:cs="Arial"/>
                <w:color w:val="auto"/>
                <w:sz w:val="20"/>
              </w:rPr>
              <w:t>Attachment 23</w:t>
            </w:r>
            <w:r w:rsidRPr="004736C5">
              <w:rPr>
                <w:rFonts w:cs="Arial"/>
                <w:color w:val="auto"/>
                <w:sz w:val="20"/>
              </w:rPr>
              <w:t xml:space="preserve"> and </w:t>
            </w:r>
            <w:r w:rsidR="009E30CC" w:rsidRPr="004736C5">
              <w:rPr>
                <w:rFonts w:cs="Arial"/>
                <w:color w:val="auto"/>
                <w:sz w:val="20"/>
              </w:rPr>
              <w:t>Attachment 21.</w:t>
            </w:r>
          </w:p>
        </w:tc>
      </w:tr>
      <w:tr w:rsidR="00FF6922" w:rsidRPr="00FF5476" w14:paraId="7E3564C9" w14:textId="77777777" w:rsidTr="00FF6922">
        <w:tc>
          <w:tcPr>
            <w:tcW w:w="5000" w:type="pct"/>
            <w:gridSpan w:val="5"/>
            <w:shd w:val="clear" w:color="auto" w:fill="D9D9D9" w:themeFill="background1" w:themeFillShade="D9"/>
          </w:tcPr>
          <w:p w14:paraId="4E8277A9" w14:textId="77777777" w:rsidR="00FF6922" w:rsidRPr="00FF6922" w:rsidRDefault="00FF6922" w:rsidP="00FF6922">
            <w:pPr>
              <w:jc w:val="center"/>
              <w:rPr>
                <w:rFonts w:ascii="Calibri" w:hAnsi="Calibri" w:cs="Calibri"/>
                <w:b/>
              </w:rPr>
            </w:pPr>
            <w:r w:rsidRPr="006438A4">
              <w:rPr>
                <w:b/>
              </w:rPr>
              <w:t>Proposal Response Instructions</w:t>
            </w:r>
          </w:p>
        </w:tc>
      </w:tr>
      <w:tr w:rsidR="000D0B51" w:rsidRPr="00FF5476" w14:paraId="153E0BCF" w14:textId="77777777" w:rsidTr="00AE6CF7">
        <w:tc>
          <w:tcPr>
            <w:tcW w:w="512" w:type="pct"/>
          </w:tcPr>
          <w:p w14:paraId="61685D6A" w14:textId="77777777" w:rsidR="000D0B51" w:rsidRPr="00FF5476" w:rsidRDefault="000D0B51" w:rsidP="000D0B51">
            <w:pPr>
              <w:pStyle w:val="Level1Body"/>
              <w:numPr>
                <w:ilvl w:val="0"/>
                <w:numId w:val="42"/>
              </w:numPr>
              <w:rPr>
                <w:rFonts w:cs="Arial"/>
                <w:sz w:val="20"/>
              </w:rPr>
            </w:pPr>
          </w:p>
        </w:tc>
        <w:tc>
          <w:tcPr>
            <w:tcW w:w="820" w:type="pct"/>
          </w:tcPr>
          <w:p w14:paraId="7BD4A902" w14:textId="77777777" w:rsidR="000D0B51" w:rsidRPr="000D0B51" w:rsidRDefault="000D0B51" w:rsidP="00AE6CF7">
            <w:pPr>
              <w:spacing w:line="252" w:lineRule="auto"/>
              <w:jc w:val="left"/>
              <w:rPr>
                <w:rFonts w:cs="Arial"/>
                <w:sz w:val="20"/>
                <w:szCs w:val="20"/>
              </w:rPr>
            </w:pPr>
            <w:r w:rsidRPr="000D0B51">
              <w:rPr>
                <w:rStyle w:val="Glossary-Bold"/>
                <w:rFonts w:cs="Arial"/>
                <w:b w:val="0"/>
                <w:sz w:val="20"/>
                <w:szCs w:val="20"/>
              </w:rPr>
              <w:t>Section V.B Eligibility and Enrollment</w:t>
            </w:r>
          </w:p>
        </w:tc>
        <w:tc>
          <w:tcPr>
            <w:tcW w:w="652" w:type="pct"/>
          </w:tcPr>
          <w:p w14:paraId="2864BB72" w14:textId="77777777" w:rsidR="000D0B51" w:rsidRPr="000D0B51" w:rsidRDefault="000D0B51" w:rsidP="00AE6CF7">
            <w:pPr>
              <w:jc w:val="left"/>
              <w:rPr>
                <w:rFonts w:cs="Arial"/>
                <w:sz w:val="20"/>
                <w:szCs w:val="20"/>
              </w:rPr>
            </w:pPr>
            <w:r w:rsidRPr="000D0B51">
              <w:rPr>
                <w:rStyle w:val="Glossary-Bold"/>
                <w:rFonts w:cs="Arial"/>
                <w:b w:val="0"/>
                <w:sz w:val="20"/>
                <w:szCs w:val="20"/>
              </w:rPr>
              <w:t>1</w:t>
            </w:r>
          </w:p>
        </w:tc>
        <w:tc>
          <w:tcPr>
            <w:tcW w:w="1463" w:type="pct"/>
          </w:tcPr>
          <w:p w14:paraId="3B77D8DC" w14:textId="77777777" w:rsidR="000D0B51" w:rsidRPr="00FF5476" w:rsidRDefault="000D0B51" w:rsidP="007E5EF3">
            <w:pPr>
              <w:autoSpaceDE w:val="0"/>
              <w:autoSpaceDN w:val="0"/>
              <w:adjustRightInd w:val="0"/>
              <w:jc w:val="left"/>
              <w:rPr>
                <w:rFonts w:cs="Arial"/>
                <w:sz w:val="20"/>
                <w:szCs w:val="20"/>
              </w:rPr>
            </w:pPr>
            <w:r w:rsidRPr="00FF5476">
              <w:rPr>
                <w:rFonts w:cs="Arial"/>
                <w:sz w:val="20"/>
                <w:szCs w:val="20"/>
              </w:rPr>
              <w:t>Can MLTC advise if question V.B.5: Describe the Bidder’s process</w:t>
            </w:r>
          </w:p>
          <w:p w14:paraId="7FC73E98" w14:textId="77777777" w:rsidR="000D0B51" w:rsidRPr="00FF5476" w:rsidRDefault="000D0B51" w:rsidP="00AE6CF7">
            <w:pPr>
              <w:autoSpaceDE w:val="0"/>
              <w:autoSpaceDN w:val="0"/>
              <w:adjustRightInd w:val="0"/>
              <w:jc w:val="left"/>
              <w:rPr>
                <w:rFonts w:cs="Arial"/>
                <w:sz w:val="20"/>
                <w:szCs w:val="20"/>
              </w:rPr>
            </w:pPr>
            <w:r w:rsidRPr="00FF5476">
              <w:rPr>
                <w:rFonts w:cs="Arial"/>
                <w:sz w:val="20"/>
                <w:szCs w:val="20"/>
              </w:rPr>
              <w:t>to identify unborn individuals anticipated to begin coverage at the</w:t>
            </w:r>
            <w:r>
              <w:rPr>
                <w:rFonts w:cs="Arial"/>
                <w:sz w:val="20"/>
                <w:szCs w:val="20"/>
              </w:rPr>
              <w:t xml:space="preserve"> </w:t>
            </w:r>
            <w:r w:rsidRPr="00FF5476">
              <w:rPr>
                <w:rFonts w:cs="Arial"/>
                <w:sz w:val="20"/>
                <w:szCs w:val="20"/>
              </w:rPr>
              <w:t>time of birth. Describe the operational process to obtain identifying</w:t>
            </w:r>
            <w:r>
              <w:rPr>
                <w:rFonts w:cs="Arial"/>
                <w:sz w:val="20"/>
                <w:szCs w:val="20"/>
              </w:rPr>
              <w:t xml:space="preserve"> </w:t>
            </w:r>
            <w:r w:rsidRPr="00FF5476">
              <w:rPr>
                <w:rFonts w:cs="Arial"/>
                <w:sz w:val="20"/>
                <w:szCs w:val="20"/>
              </w:rPr>
              <w:t>information when the unborn status changes to newborn.</w:t>
            </w:r>
          </w:p>
          <w:p w14:paraId="19B942C9" w14:textId="77777777" w:rsidR="000D0B51" w:rsidRDefault="000D0B51" w:rsidP="00AE6CF7">
            <w:pPr>
              <w:autoSpaceDE w:val="0"/>
              <w:autoSpaceDN w:val="0"/>
              <w:adjustRightInd w:val="0"/>
              <w:jc w:val="left"/>
              <w:rPr>
                <w:rFonts w:cs="Arial"/>
                <w:sz w:val="20"/>
                <w:szCs w:val="20"/>
              </w:rPr>
            </w:pPr>
          </w:p>
          <w:p w14:paraId="7343CC58" w14:textId="77777777" w:rsidR="000D0B51" w:rsidRPr="00FF5476" w:rsidRDefault="000D0B51" w:rsidP="00AE6CF7">
            <w:pPr>
              <w:spacing w:before="100" w:beforeAutospacing="1" w:after="100" w:afterAutospacing="1"/>
              <w:jc w:val="left"/>
              <w:rPr>
                <w:rFonts w:cs="Arial"/>
                <w:sz w:val="20"/>
                <w:szCs w:val="20"/>
              </w:rPr>
            </w:pPr>
            <w:r w:rsidRPr="00FF5476">
              <w:rPr>
                <w:rFonts w:cs="Arial"/>
                <w:sz w:val="20"/>
                <w:szCs w:val="20"/>
              </w:rPr>
              <w:lastRenderedPageBreak/>
              <w:t>Can MLTC advise if this question is specific to the 599P</w:t>
            </w:r>
            <w:r>
              <w:rPr>
                <w:rFonts w:cs="Arial"/>
                <w:sz w:val="20"/>
                <w:szCs w:val="20"/>
              </w:rPr>
              <w:t xml:space="preserve"> </w:t>
            </w:r>
            <w:r w:rsidRPr="00FF5476">
              <w:rPr>
                <w:rFonts w:cs="Arial"/>
                <w:sz w:val="20"/>
                <w:szCs w:val="20"/>
              </w:rPr>
              <w:t>membership?</w:t>
            </w:r>
          </w:p>
        </w:tc>
        <w:tc>
          <w:tcPr>
            <w:tcW w:w="1552" w:type="pct"/>
          </w:tcPr>
          <w:p w14:paraId="0B033612" w14:textId="77777777" w:rsidR="000D0B51" w:rsidRPr="004736C5" w:rsidRDefault="003306ED" w:rsidP="00AE6CF7">
            <w:pPr>
              <w:pStyle w:val="Level1Body"/>
              <w:jc w:val="left"/>
              <w:rPr>
                <w:rFonts w:cs="Arial"/>
                <w:sz w:val="20"/>
              </w:rPr>
            </w:pPr>
            <w:r w:rsidRPr="004736C5">
              <w:rPr>
                <w:rFonts w:cs="Arial"/>
                <w:sz w:val="20"/>
              </w:rPr>
              <w:lastRenderedPageBreak/>
              <w:t>Yes, this question is specific to 599 CHIP membership.</w:t>
            </w:r>
          </w:p>
        </w:tc>
      </w:tr>
      <w:tr w:rsidR="000D0B51" w:rsidRPr="00FF5476" w14:paraId="3616DFC2" w14:textId="77777777" w:rsidTr="00AE6CF7">
        <w:tc>
          <w:tcPr>
            <w:tcW w:w="512" w:type="pct"/>
          </w:tcPr>
          <w:p w14:paraId="0857D1AE" w14:textId="77777777" w:rsidR="000D0B51" w:rsidRPr="00FF5476" w:rsidRDefault="000D0B51" w:rsidP="000D0B51">
            <w:pPr>
              <w:pStyle w:val="Level1Body"/>
              <w:numPr>
                <w:ilvl w:val="0"/>
                <w:numId w:val="42"/>
              </w:numPr>
              <w:rPr>
                <w:rFonts w:cs="Arial"/>
                <w:sz w:val="20"/>
              </w:rPr>
            </w:pPr>
          </w:p>
        </w:tc>
        <w:tc>
          <w:tcPr>
            <w:tcW w:w="820" w:type="pct"/>
          </w:tcPr>
          <w:p w14:paraId="2C13ACA5" w14:textId="77777777" w:rsidR="000D0B51" w:rsidRPr="000D0B51" w:rsidRDefault="000D0B51" w:rsidP="00AE6CF7">
            <w:pPr>
              <w:spacing w:line="252" w:lineRule="auto"/>
              <w:jc w:val="left"/>
              <w:rPr>
                <w:rStyle w:val="Glossary-Bold"/>
                <w:rFonts w:cs="Arial"/>
                <w:b w:val="0"/>
                <w:sz w:val="20"/>
                <w:szCs w:val="20"/>
              </w:rPr>
            </w:pPr>
            <w:r w:rsidRPr="000D0B51">
              <w:rPr>
                <w:rFonts w:cs="Arial"/>
                <w:sz w:val="20"/>
                <w:szCs w:val="20"/>
              </w:rPr>
              <w:t>Section V.R Systems and Technical Requirements - 99</w:t>
            </w:r>
          </w:p>
        </w:tc>
        <w:tc>
          <w:tcPr>
            <w:tcW w:w="652" w:type="pct"/>
          </w:tcPr>
          <w:p w14:paraId="09D304C5" w14:textId="77777777" w:rsidR="000D0B51" w:rsidRPr="000D0B51" w:rsidRDefault="000D0B51" w:rsidP="00AE6CF7">
            <w:pPr>
              <w:jc w:val="left"/>
              <w:rPr>
                <w:rStyle w:val="Glossary-Bold"/>
                <w:rFonts w:cs="Arial"/>
                <w:b w:val="0"/>
                <w:sz w:val="20"/>
                <w:szCs w:val="20"/>
              </w:rPr>
            </w:pPr>
            <w:r w:rsidRPr="000D0B51">
              <w:rPr>
                <w:rFonts w:cs="Arial"/>
                <w:sz w:val="20"/>
                <w:szCs w:val="20"/>
              </w:rPr>
              <w:t>16</w:t>
            </w:r>
          </w:p>
        </w:tc>
        <w:tc>
          <w:tcPr>
            <w:tcW w:w="1463" w:type="pct"/>
          </w:tcPr>
          <w:p w14:paraId="7F6AB056" w14:textId="77777777" w:rsidR="000D0B51" w:rsidRPr="000D0B51" w:rsidRDefault="000D0B51" w:rsidP="00AE6CF7">
            <w:pPr>
              <w:jc w:val="left"/>
              <w:rPr>
                <w:rFonts w:cs="Arial"/>
                <w:i/>
                <w:iCs/>
                <w:sz w:val="20"/>
                <w:szCs w:val="20"/>
              </w:rPr>
            </w:pPr>
            <w:r w:rsidRPr="000D0B51">
              <w:rPr>
                <w:rFonts w:cs="Arial"/>
                <w:sz w:val="20"/>
                <w:szCs w:val="20"/>
              </w:rPr>
              <w:t>Regarding this sentence in No. 99: Provide a description of how the MCO will comply with applicable Federal (including but not limited to HIPAA) standards for information exchange and</w:t>
            </w:r>
            <w:r w:rsidRPr="000D0B51">
              <w:rPr>
                <w:rFonts w:cs="Arial"/>
                <w:i/>
                <w:iCs/>
                <w:sz w:val="20"/>
                <w:szCs w:val="20"/>
              </w:rPr>
              <w:t xml:space="preserve"> ensure adequate system access management and information accessibility.</w:t>
            </w:r>
          </w:p>
          <w:p w14:paraId="3AFBCAFA" w14:textId="77777777" w:rsidR="000D0B51" w:rsidRPr="000D0B51" w:rsidRDefault="000D0B51" w:rsidP="00AE6CF7">
            <w:pPr>
              <w:jc w:val="left"/>
              <w:rPr>
                <w:rFonts w:cs="Arial"/>
                <w:sz w:val="20"/>
                <w:szCs w:val="20"/>
              </w:rPr>
            </w:pPr>
          </w:p>
          <w:p w14:paraId="68A6BCD9" w14:textId="77777777" w:rsidR="000D0B51" w:rsidRPr="000D0B51" w:rsidRDefault="000D0B51" w:rsidP="00AE6CF7">
            <w:pPr>
              <w:jc w:val="left"/>
              <w:rPr>
                <w:rFonts w:cs="Arial"/>
                <w:sz w:val="20"/>
                <w:szCs w:val="20"/>
              </w:rPr>
            </w:pPr>
            <w:r w:rsidRPr="000D0B51">
              <w:rPr>
                <w:rFonts w:cs="Arial"/>
                <w:sz w:val="20"/>
                <w:szCs w:val="20"/>
              </w:rPr>
              <w:t>No. 102 on page 17 asks for a description of access restrictions.</w:t>
            </w:r>
          </w:p>
          <w:p w14:paraId="5FA7BD7A" w14:textId="77777777" w:rsidR="000D0B51" w:rsidRPr="000D0B51" w:rsidRDefault="000D0B51" w:rsidP="00AE6CF7">
            <w:pPr>
              <w:jc w:val="left"/>
              <w:rPr>
                <w:rFonts w:cs="Arial"/>
                <w:sz w:val="20"/>
                <w:szCs w:val="20"/>
              </w:rPr>
            </w:pPr>
          </w:p>
          <w:p w14:paraId="411CD9B2" w14:textId="77777777" w:rsidR="000D0B51" w:rsidRPr="000D0B51" w:rsidRDefault="000D0B51" w:rsidP="00AE6CF7">
            <w:pPr>
              <w:jc w:val="left"/>
              <w:rPr>
                <w:rFonts w:cs="Arial"/>
                <w:sz w:val="20"/>
                <w:szCs w:val="20"/>
              </w:rPr>
            </w:pPr>
            <w:r w:rsidRPr="000D0B51">
              <w:rPr>
                <w:rFonts w:cs="Arial"/>
                <w:sz w:val="20"/>
                <w:szCs w:val="20"/>
              </w:rPr>
              <w:t xml:space="preserve">We assume that in No. 99, the Bidder should address methods of </w:t>
            </w:r>
            <w:r w:rsidRPr="000D0B51">
              <w:rPr>
                <w:rFonts w:cs="Arial"/>
                <w:b/>
                <w:bCs/>
                <w:i/>
                <w:iCs/>
                <w:sz w:val="20"/>
                <w:szCs w:val="20"/>
              </w:rPr>
              <w:t xml:space="preserve">complying </w:t>
            </w:r>
            <w:r w:rsidRPr="000D0B51">
              <w:rPr>
                <w:rFonts w:cs="Arial"/>
                <w:sz w:val="20"/>
                <w:szCs w:val="20"/>
              </w:rPr>
              <w:t>with Federal regulations related to systems access management and information accessibility, whereas in No. 102, the Bidder should describe the Bidder’s access restrictions themselves.</w:t>
            </w:r>
          </w:p>
          <w:p w14:paraId="0AD85C7B" w14:textId="77777777" w:rsidR="000D0B51" w:rsidRPr="000D0B51" w:rsidRDefault="000D0B51" w:rsidP="00AE6CF7">
            <w:pPr>
              <w:jc w:val="left"/>
              <w:rPr>
                <w:rFonts w:cs="Arial"/>
                <w:sz w:val="20"/>
                <w:szCs w:val="20"/>
              </w:rPr>
            </w:pPr>
          </w:p>
          <w:p w14:paraId="296093DB" w14:textId="77777777" w:rsidR="000D0B51" w:rsidRPr="00FF5476" w:rsidRDefault="000D0B51" w:rsidP="007E5EF3">
            <w:pPr>
              <w:autoSpaceDE w:val="0"/>
              <w:autoSpaceDN w:val="0"/>
              <w:adjustRightInd w:val="0"/>
              <w:jc w:val="left"/>
              <w:rPr>
                <w:rFonts w:cs="Arial"/>
                <w:sz w:val="20"/>
                <w:szCs w:val="20"/>
              </w:rPr>
            </w:pPr>
            <w:r w:rsidRPr="000D0B51">
              <w:rPr>
                <w:rFonts w:cs="Arial"/>
                <w:sz w:val="20"/>
                <w:szCs w:val="20"/>
              </w:rPr>
              <w:t>Are we correct in our assumption?  If we are not correct, please clarify.</w:t>
            </w:r>
          </w:p>
        </w:tc>
        <w:tc>
          <w:tcPr>
            <w:tcW w:w="1552" w:type="pct"/>
          </w:tcPr>
          <w:p w14:paraId="791502BC" w14:textId="77777777" w:rsidR="000D0B51" w:rsidRPr="004736C5" w:rsidRDefault="005205BD" w:rsidP="005205BD">
            <w:pPr>
              <w:pStyle w:val="Level1Body"/>
              <w:jc w:val="left"/>
              <w:rPr>
                <w:rFonts w:cs="Arial"/>
                <w:sz w:val="20"/>
              </w:rPr>
            </w:pPr>
            <w:r w:rsidRPr="00FA3BF6">
              <w:rPr>
                <w:rFonts w:cs="Arial"/>
                <w:sz w:val="20"/>
              </w:rPr>
              <w:t>The Proposal Response Instructions are complete as posted.</w:t>
            </w:r>
          </w:p>
        </w:tc>
      </w:tr>
      <w:tr w:rsidR="007E5EF3" w:rsidRPr="00FF5476" w14:paraId="32848AFB" w14:textId="77777777" w:rsidTr="007E5EF3">
        <w:tc>
          <w:tcPr>
            <w:tcW w:w="512" w:type="pct"/>
          </w:tcPr>
          <w:p w14:paraId="2692D9E3" w14:textId="77777777" w:rsidR="000D0B51" w:rsidRPr="00FF5476" w:rsidRDefault="000D0B51" w:rsidP="000D0B51">
            <w:pPr>
              <w:pStyle w:val="Level1Body"/>
              <w:numPr>
                <w:ilvl w:val="0"/>
                <w:numId w:val="42"/>
              </w:numPr>
              <w:rPr>
                <w:rFonts w:cs="Arial"/>
                <w:sz w:val="20"/>
              </w:rPr>
            </w:pPr>
          </w:p>
        </w:tc>
        <w:tc>
          <w:tcPr>
            <w:tcW w:w="820" w:type="pct"/>
          </w:tcPr>
          <w:p w14:paraId="6ABDAD15" w14:textId="77777777" w:rsidR="000D0B51" w:rsidRPr="00FF5476" w:rsidRDefault="000D0B51" w:rsidP="00AE6CF7">
            <w:pPr>
              <w:spacing w:line="252" w:lineRule="auto"/>
              <w:jc w:val="left"/>
              <w:rPr>
                <w:rFonts w:cs="Arial"/>
                <w:color w:val="000000"/>
                <w:sz w:val="20"/>
                <w:szCs w:val="20"/>
              </w:rPr>
            </w:pPr>
            <w:r>
              <w:rPr>
                <w:rFonts w:cs="Arial"/>
                <w:sz w:val="20"/>
                <w:szCs w:val="20"/>
              </w:rPr>
              <w:t xml:space="preserve">Section </w:t>
            </w:r>
            <w:r w:rsidRPr="00FF5476">
              <w:rPr>
                <w:rFonts w:cs="Arial"/>
                <w:sz w:val="20"/>
                <w:szCs w:val="20"/>
              </w:rPr>
              <w:t>V.S Claims Management – 104 and 109</w:t>
            </w:r>
          </w:p>
        </w:tc>
        <w:tc>
          <w:tcPr>
            <w:tcW w:w="652" w:type="pct"/>
          </w:tcPr>
          <w:p w14:paraId="09A5F3BF" w14:textId="77777777" w:rsidR="000D0B51" w:rsidRPr="00FF5476" w:rsidRDefault="000D0B51" w:rsidP="00AE6CF7">
            <w:pPr>
              <w:jc w:val="left"/>
              <w:rPr>
                <w:rFonts w:cs="Arial"/>
                <w:color w:val="000000"/>
                <w:sz w:val="20"/>
                <w:szCs w:val="20"/>
              </w:rPr>
            </w:pPr>
            <w:r w:rsidRPr="00FF5476">
              <w:rPr>
                <w:rFonts w:cs="Arial"/>
                <w:sz w:val="20"/>
                <w:szCs w:val="20"/>
              </w:rPr>
              <w:t>20-21</w:t>
            </w:r>
          </w:p>
        </w:tc>
        <w:tc>
          <w:tcPr>
            <w:tcW w:w="1463" w:type="pct"/>
          </w:tcPr>
          <w:p w14:paraId="3E849631" w14:textId="77777777" w:rsidR="000D0B51" w:rsidRPr="00FF5476" w:rsidRDefault="000D0B51" w:rsidP="00AE6CF7">
            <w:pPr>
              <w:spacing w:before="100" w:beforeAutospacing="1" w:after="100" w:afterAutospacing="1"/>
              <w:jc w:val="left"/>
              <w:rPr>
                <w:rFonts w:cs="Arial"/>
                <w:sz w:val="20"/>
                <w:szCs w:val="20"/>
              </w:rPr>
            </w:pPr>
            <w:r w:rsidRPr="00FF5476">
              <w:rPr>
                <w:rFonts w:cs="Arial"/>
                <w:sz w:val="20"/>
                <w:szCs w:val="20"/>
              </w:rPr>
              <w:t>For questions 104 and 109 with page limits, please confirm attachments do not count toward page limits.</w:t>
            </w:r>
          </w:p>
          <w:p w14:paraId="7F82AB4A" w14:textId="77777777" w:rsidR="000D0B51" w:rsidRPr="00FF5476" w:rsidRDefault="000D0B51" w:rsidP="00AE6CF7">
            <w:pPr>
              <w:spacing w:line="252" w:lineRule="auto"/>
              <w:jc w:val="left"/>
              <w:rPr>
                <w:rFonts w:cs="Arial"/>
                <w:color w:val="000000"/>
                <w:sz w:val="20"/>
                <w:szCs w:val="20"/>
              </w:rPr>
            </w:pPr>
          </w:p>
        </w:tc>
        <w:tc>
          <w:tcPr>
            <w:tcW w:w="1552" w:type="pct"/>
          </w:tcPr>
          <w:p w14:paraId="52F23FC0" w14:textId="77777777" w:rsidR="000D0B51" w:rsidRDefault="00911FEA" w:rsidP="00AE6CF7">
            <w:pPr>
              <w:pStyle w:val="Level1Body"/>
              <w:jc w:val="left"/>
              <w:rPr>
                <w:rFonts w:cs="Arial"/>
                <w:sz w:val="20"/>
              </w:rPr>
            </w:pPr>
            <w:r>
              <w:rPr>
                <w:rFonts w:cs="Arial"/>
                <w:sz w:val="20"/>
              </w:rPr>
              <w:t xml:space="preserve">Yes, examples are not included in the page limit. </w:t>
            </w:r>
          </w:p>
        </w:tc>
      </w:tr>
      <w:tr w:rsidR="000D0B51" w:rsidRPr="00FF5476" w14:paraId="74BFE42F" w14:textId="77777777" w:rsidTr="00F26B9E">
        <w:tc>
          <w:tcPr>
            <w:tcW w:w="5000" w:type="pct"/>
            <w:gridSpan w:val="5"/>
            <w:shd w:val="clear" w:color="auto" w:fill="D9D9D9" w:themeFill="background1" w:themeFillShade="D9"/>
          </w:tcPr>
          <w:p w14:paraId="21D49E0C" w14:textId="77777777" w:rsidR="000D0B51" w:rsidRPr="00F26B9E" w:rsidRDefault="000D0B51" w:rsidP="000D0B51">
            <w:pPr>
              <w:pStyle w:val="Level1Body"/>
              <w:jc w:val="center"/>
              <w:rPr>
                <w:rFonts w:cs="Arial"/>
                <w:b/>
                <w:sz w:val="20"/>
              </w:rPr>
            </w:pPr>
            <w:r w:rsidRPr="00F26B9E">
              <w:rPr>
                <w:rFonts w:cs="Arial"/>
                <w:b/>
                <w:sz w:val="20"/>
              </w:rPr>
              <w:t>Addendum 1</w:t>
            </w:r>
            <w:r>
              <w:rPr>
                <w:rFonts w:cs="Arial"/>
                <w:b/>
                <w:sz w:val="20"/>
              </w:rPr>
              <w:t xml:space="preserve"> – Q&amp;A</w:t>
            </w:r>
          </w:p>
        </w:tc>
      </w:tr>
      <w:tr w:rsidR="0081334D" w:rsidRPr="00FF5476" w14:paraId="20717517" w14:textId="77777777" w:rsidTr="00AE6CF7">
        <w:tc>
          <w:tcPr>
            <w:tcW w:w="512" w:type="pct"/>
          </w:tcPr>
          <w:p w14:paraId="00A1D743" w14:textId="77777777" w:rsidR="000D0B51" w:rsidRPr="00FF5476" w:rsidRDefault="000D0B51" w:rsidP="000D0B51">
            <w:pPr>
              <w:pStyle w:val="Level1Body"/>
              <w:numPr>
                <w:ilvl w:val="0"/>
                <w:numId w:val="42"/>
              </w:numPr>
              <w:rPr>
                <w:rFonts w:cs="Arial"/>
                <w:sz w:val="20"/>
              </w:rPr>
            </w:pPr>
          </w:p>
        </w:tc>
        <w:tc>
          <w:tcPr>
            <w:tcW w:w="820" w:type="pct"/>
          </w:tcPr>
          <w:p w14:paraId="5BCBE64D" w14:textId="77777777" w:rsidR="000D0B51" w:rsidRDefault="000D0B51" w:rsidP="00AE6CF7">
            <w:pPr>
              <w:jc w:val="left"/>
              <w:rPr>
                <w:rStyle w:val="Glossary-Bold"/>
                <w:rFonts w:cs="Arial"/>
                <w:b w:val="0"/>
                <w:sz w:val="20"/>
                <w:szCs w:val="20"/>
              </w:rPr>
            </w:pPr>
            <w:r>
              <w:rPr>
                <w:rStyle w:val="Glossary-Bold"/>
                <w:rFonts w:cs="Arial"/>
                <w:b w:val="0"/>
                <w:sz w:val="20"/>
                <w:szCs w:val="20"/>
              </w:rPr>
              <w:t>Section V.A.1.g</w:t>
            </w:r>
            <w:r w:rsidR="0081334D">
              <w:rPr>
                <w:rStyle w:val="Glossary-Bold"/>
                <w:rFonts w:cs="Arial"/>
                <w:b w:val="0"/>
                <w:sz w:val="20"/>
                <w:szCs w:val="20"/>
              </w:rPr>
              <w:t xml:space="preserve"> – Program Description</w:t>
            </w:r>
          </w:p>
          <w:p w14:paraId="384F0452" w14:textId="77777777" w:rsidR="000D0B51" w:rsidRDefault="000D0B51" w:rsidP="00AE6CF7">
            <w:pPr>
              <w:jc w:val="left"/>
              <w:rPr>
                <w:rStyle w:val="Glossary-Bold"/>
                <w:rFonts w:cs="Arial"/>
                <w:b w:val="0"/>
                <w:sz w:val="20"/>
                <w:szCs w:val="20"/>
              </w:rPr>
            </w:pPr>
          </w:p>
          <w:p w14:paraId="4A6595C1" w14:textId="77777777" w:rsidR="000D0B51" w:rsidRPr="00FF5476" w:rsidRDefault="000D0B51" w:rsidP="00AE6CF7">
            <w:pPr>
              <w:jc w:val="left"/>
              <w:rPr>
                <w:rStyle w:val="Glossary-Bold"/>
                <w:rFonts w:cs="Arial"/>
                <w:b w:val="0"/>
                <w:sz w:val="20"/>
                <w:szCs w:val="20"/>
              </w:rPr>
            </w:pPr>
            <w:r w:rsidRPr="00FF5476">
              <w:rPr>
                <w:rStyle w:val="Glossary-Bold"/>
                <w:rFonts w:cs="Arial"/>
                <w:b w:val="0"/>
                <w:sz w:val="20"/>
                <w:szCs w:val="20"/>
              </w:rPr>
              <w:t>Q&amp;A 24-33</w:t>
            </w:r>
          </w:p>
        </w:tc>
        <w:tc>
          <w:tcPr>
            <w:tcW w:w="652" w:type="pct"/>
          </w:tcPr>
          <w:p w14:paraId="362EF065" w14:textId="77777777" w:rsidR="000D0B51" w:rsidRDefault="000D0B51" w:rsidP="00AE6CF7">
            <w:pPr>
              <w:jc w:val="left"/>
              <w:rPr>
                <w:rStyle w:val="Glossary-Bold"/>
                <w:rFonts w:cs="Arial"/>
                <w:b w:val="0"/>
                <w:sz w:val="20"/>
                <w:szCs w:val="20"/>
              </w:rPr>
            </w:pPr>
            <w:r>
              <w:rPr>
                <w:rStyle w:val="Glossary-Bold"/>
                <w:rFonts w:cs="Arial"/>
                <w:b w:val="0"/>
                <w:sz w:val="20"/>
                <w:szCs w:val="20"/>
              </w:rPr>
              <w:t>RFP 28</w:t>
            </w:r>
          </w:p>
          <w:p w14:paraId="41C92005" w14:textId="77777777" w:rsidR="000D0B51" w:rsidRDefault="000D0B51" w:rsidP="00AE6CF7">
            <w:pPr>
              <w:jc w:val="left"/>
              <w:rPr>
                <w:rStyle w:val="Glossary-Bold"/>
                <w:rFonts w:cs="Arial"/>
                <w:b w:val="0"/>
                <w:sz w:val="20"/>
                <w:szCs w:val="20"/>
              </w:rPr>
            </w:pPr>
          </w:p>
          <w:p w14:paraId="5BDE24AD" w14:textId="77777777" w:rsidR="00AE6CF7" w:rsidRDefault="00AE6CF7" w:rsidP="00AE6CF7">
            <w:pPr>
              <w:jc w:val="left"/>
              <w:rPr>
                <w:rStyle w:val="Glossary-Bold"/>
                <w:rFonts w:cs="Arial"/>
                <w:b w:val="0"/>
                <w:sz w:val="20"/>
                <w:szCs w:val="20"/>
              </w:rPr>
            </w:pPr>
          </w:p>
          <w:p w14:paraId="7431D7E9" w14:textId="77777777" w:rsidR="00AE6CF7" w:rsidRDefault="00AE6CF7" w:rsidP="00AE6CF7">
            <w:pPr>
              <w:jc w:val="left"/>
              <w:rPr>
                <w:rStyle w:val="Glossary-Bold"/>
                <w:rFonts w:cs="Arial"/>
                <w:b w:val="0"/>
                <w:sz w:val="20"/>
                <w:szCs w:val="20"/>
              </w:rPr>
            </w:pPr>
          </w:p>
          <w:p w14:paraId="37350865" w14:textId="77777777" w:rsidR="000D0B51" w:rsidRPr="00FF5476" w:rsidRDefault="000D0B51" w:rsidP="00AE6CF7">
            <w:pPr>
              <w:jc w:val="left"/>
              <w:rPr>
                <w:rStyle w:val="Glossary-Bold"/>
                <w:rFonts w:cs="Arial"/>
                <w:b w:val="0"/>
                <w:sz w:val="20"/>
                <w:szCs w:val="20"/>
              </w:rPr>
            </w:pPr>
            <w:r w:rsidRPr="00FF5476">
              <w:rPr>
                <w:rStyle w:val="Glossary-Bold"/>
                <w:rFonts w:cs="Arial"/>
                <w:b w:val="0"/>
                <w:sz w:val="20"/>
                <w:szCs w:val="20"/>
              </w:rPr>
              <w:t xml:space="preserve">Q&amp;A </w:t>
            </w:r>
            <w:r>
              <w:rPr>
                <w:rStyle w:val="Glossary-Bold"/>
                <w:rFonts w:cs="Arial"/>
                <w:b w:val="0"/>
                <w:sz w:val="20"/>
                <w:szCs w:val="20"/>
              </w:rPr>
              <w:t>9-13</w:t>
            </w:r>
          </w:p>
        </w:tc>
        <w:tc>
          <w:tcPr>
            <w:tcW w:w="1463" w:type="pct"/>
          </w:tcPr>
          <w:p w14:paraId="088FE32F" w14:textId="77777777" w:rsidR="000D0B51" w:rsidRPr="00FF5476" w:rsidRDefault="000D0B51" w:rsidP="00AE6CF7">
            <w:pPr>
              <w:spacing w:before="100" w:beforeAutospacing="1" w:after="100" w:afterAutospacing="1"/>
              <w:jc w:val="left"/>
              <w:rPr>
                <w:rStyle w:val="Glossary-Bold"/>
                <w:rFonts w:cs="Arial"/>
                <w:b w:val="0"/>
                <w:sz w:val="20"/>
                <w:szCs w:val="20"/>
              </w:rPr>
            </w:pPr>
            <w:r w:rsidRPr="00FF5476">
              <w:rPr>
                <w:rStyle w:val="Glossary-Bold"/>
                <w:rFonts w:cs="Arial"/>
                <w:b w:val="0"/>
                <w:sz w:val="20"/>
                <w:szCs w:val="20"/>
              </w:rPr>
              <w:t>Please advise what behavioral health services will be required to be covered under the HIDE-DSNP beyond the behavioral health services covered in Section V.E.9?</w:t>
            </w:r>
          </w:p>
        </w:tc>
        <w:tc>
          <w:tcPr>
            <w:tcW w:w="1552" w:type="pct"/>
          </w:tcPr>
          <w:p w14:paraId="130B4969" w14:textId="77777777" w:rsidR="00165A8C" w:rsidRPr="00165A8C" w:rsidRDefault="00165A8C" w:rsidP="00165A8C">
            <w:pPr>
              <w:jc w:val="left"/>
              <w:rPr>
                <w:rFonts w:cs="Arial"/>
                <w:sz w:val="20"/>
                <w:szCs w:val="20"/>
              </w:rPr>
            </w:pPr>
            <w:r w:rsidRPr="00165A8C">
              <w:rPr>
                <w:rFonts w:cs="Arial"/>
                <w:sz w:val="20"/>
                <w:szCs w:val="20"/>
              </w:rPr>
              <w:t>DHHS is not requiring the coverage of any specific behavioral health services beyond those outlined in Section V.E.9.</w:t>
            </w:r>
          </w:p>
          <w:p w14:paraId="330BF1A0" w14:textId="77777777" w:rsidR="00165A8C" w:rsidRPr="00165A8C" w:rsidRDefault="00165A8C" w:rsidP="00165A8C">
            <w:pPr>
              <w:jc w:val="left"/>
              <w:rPr>
                <w:rFonts w:cs="Arial"/>
                <w:sz w:val="20"/>
                <w:szCs w:val="20"/>
              </w:rPr>
            </w:pPr>
          </w:p>
          <w:p w14:paraId="6C414E9B" w14:textId="77777777" w:rsidR="000D0B51" w:rsidRPr="00165A8C" w:rsidRDefault="000D0B51" w:rsidP="004110C5">
            <w:pPr>
              <w:pStyle w:val="Level1Body"/>
              <w:jc w:val="left"/>
              <w:rPr>
                <w:rFonts w:cs="Arial"/>
                <w:color w:val="auto"/>
                <w:sz w:val="20"/>
              </w:rPr>
            </w:pPr>
          </w:p>
        </w:tc>
      </w:tr>
      <w:tr w:rsidR="0081334D" w:rsidRPr="00FF5476" w14:paraId="3C9B2F9F" w14:textId="77777777" w:rsidTr="00AE6CF7">
        <w:tc>
          <w:tcPr>
            <w:tcW w:w="512" w:type="pct"/>
          </w:tcPr>
          <w:p w14:paraId="3BA5B2AC" w14:textId="77777777" w:rsidR="000D0B51" w:rsidRPr="00FF5476" w:rsidRDefault="000D0B51" w:rsidP="000D0B51">
            <w:pPr>
              <w:pStyle w:val="Level1Body"/>
              <w:numPr>
                <w:ilvl w:val="0"/>
                <w:numId w:val="42"/>
              </w:numPr>
              <w:rPr>
                <w:rFonts w:cs="Arial"/>
                <w:sz w:val="20"/>
              </w:rPr>
            </w:pPr>
          </w:p>
        </w:tc>
        <w:tc>
          <w:tcPr>
            <w:tcW w:w="820" w:type="pct"/>
          </w:tcPr>
          <w:p w14:paraId="5EC4369E" w14:textId="77777777" w:rsidR="0081334D" w:rsidRDefault="000D0B51" w:rsidP="00AE6CF7">
            <w:pPr>
              <w:jc w:val="left"/>
              <w:rPr>
                <w:rFonts w:cs="Arial"/>
                <w:sz w:val="20"/>
                <w:szCs w:val="20"/>
              </w:rPr>
            </w:pPr>
            <w:r w:rsidRPr="00FF5476">
              <w:rPr>
                <w:rStyle w:val="Glossary-Bold"/>
                <w:rFonts w:cs="Arial"/>
                <w:b w:val="0"/>
                <w:sz w:val="20"/>
                <w:szCs w:val="20"/>
              </w:rPr>
              <w:t>Section V.B.4</w:t>
            </w:r>
            <w:r w:rsidR="0081334D">
              <w:rPr>
                <w:rStyle w:val="Glossary-Bold"/>
                <w:rFonts w:cs="Arial"/>
                <w:b w:val="0"/>
                <w:sz w:val="20"/>
                <w:szCs w:val="20"/>
              </w:rPr>
              <w:t xml:space="preserve"> </w:t>
            </w:r>
            <w:r w:rsidR="0081334D" w:rsidRPr="00351892">
              <w:rPr>
                <w:rFonts w:cs="Arial"/>
                <w:sz w:val="20"/>
                <w:szCs w:val="20"/>
              </w:rPr>
              <w:t>- Eligibility and Enrollment</w:t>
            </w:r>
          </w:p>
          <w:p w14:paraId="287025D7" w14:textId="77777777" w:rsidR="00AE6CF7" w:rsidRDefault="00AE6CF7" w:rsidP="00AE6CF7">
            <w:pPr>
              <w:jc w:val="left"/>
              <w:rPr>
                <w:rStyle w:val="Glossary-Bold"/>
                <w:rFonts w:cs="Arial"/>
                <w:b w:val="0"/>
                <w:sz w:val="20"/>
                <w:szCs w:val="20"/>
              </w:rPr>
            </w:pPr>
          </w:p>
          <w:p w14:paraId="716865CB" w14:textId="77777777" w:rsidR="000D0B51" w:rsidRPr="00FF5476" w:rsidRDefault="000D0B51" w:rsidP="00AE6CF7">
            <w:pPr>
              <w:jc w:val="left"/>
              <w:rPr>
                <w:rStyle w:val="Glossary-Bold"/>
                <w:rFonts w:cs="Arial"/>
                <w:b w:val="0"/>
                <w:sz w:val="20"/>
                <w:szCs w:val="20"/>
              </w:rPr>
            </w:pPr>
            <w:r w:rsidRPr="00FF5476">
              <w:rPr>
                <w:rStyle w:val="Glossary-Bold"/>
                <w:rFonts w:cs="Arial"/>
                <w:b w:val="0"/>
                <w:sz w:val="20"/>
                <w:szCs w:val="20"/>
              </w:rPr>
              <w:t>Q&amp;A 33</w:t>
            </w:r>
          </w:p>
        </w:tc>
        <w:tc>
          <w:tcPr>
            <w:tcW w:w="652" w:type="pct"/>
          </w:tcPr>
          <w:p w14:paraId="4D1621E5" w14:textId="77777777" w:rsidR="000D0B51" w:rsidRDefault="000D0B51" w:rsidP="00AE6CF7">
            <w:pPr>
              <w:jc w:val="left"/>
              <w:rPr>
                <w:rStyle w:val="Glossary-Bold"/>
                <w:rFonts w:cs="Arial"/>
                <w:b w:val="0"/>
                <w:sz w:val="20"/>
                <w:szCs w:val="20"/>
              </w:rPr>
            </w:pPr>
            <w:r>
              <w:rPr>
                <w:rStyle w:val="Glossary-Bold"/>
                <w:rFonts w:cs="Arial"/>
                <w:b w:val="0"/>
                <w:sz w:val="20"/>
                <w:szCs w:val="20"/>
              </w:rPr>
              <w:t xml:space="preserve">RFP </w:t>
            </w:r>
            <w:r w:rsidRPr="00FF5476">
              <w:rPr>
                <w:rStyle w:val="Glossary-Bold"/>
                <w:rFonts w:cs="Arial"/>
                <w:b w:val="0"/>
                <w:sz w:val="20"/>
                <w:szCs w:val="20"/>
              </w:rPr>
              <w:t>30</w:t>
            </w:r>
          </w:p>
          <w:p w14:paraId="651F1F7D" w14:textId="77777777" w:rsidR="000D0B51" w:rsidRDefault="000D0B51" w:rsidP="00AE6CF7">
            <w:pPr>
              <w:jc w:val="left"/>
              <w:rPr>
                <w:rStyle w:val="Glossary-Bold"/>
                <w:rFonts w:cs="Arial"/>
                <w:b w:val="0"/>
                <w:sz w:val="20"/>
                <w:szCs w:val="20"/>
              </w:rPr>
            </w:pPr>
          </w:p>
          <w:p w14:paraId="7607DB51" w14:textId="77777777" w:rsidR="00AE6CF7" w:rsidRDefault="00AE6CF7" w:rsidP="00AE6CF7">
            <w:pPr>
              <w:jc w:val="left"/>
              <w:rPr>
                <w:rStyle w:val="Glossary-Bold"/>
                <w:rFonts w:cs="Arial"/>
                <w:b w:val="0"/>
                <w:sz w:val="20"/>
                <w:szCs w:val="20"/>
              </w:rPr>
            </w:pPr>
          </w:p>
          <w:p w14:paraId="2675BB9F" w14:textId="77777777" w:rsidR="00AE6CF7" w:rsidRDefault="00AE6CF7" w:rsidP="00AE6CF7">
            <w:pPr>
              <w:jc w:val="left"/>
              <w:rPr>
                <w:rStyle w:val="Glossary-Bold"/>
                <w:rFonts w:cs="Arial"/>
                <w:b w:val="0"/>
                <w:sz w:val="20"/>
                <w:szCs w:val="20"/>
              </w:rPr>
            </w:pPr>
          </w:p>
          <w:p w14:paraId="0DAB8CB8" w14:textId="77777777" w:rsidR="000D0B51" w:rsidRPr="00FF5476" w:rsidRDefault="000D0B51" w:rsidP="00AE6CF7">
            <w:pPr>
              <w:jc w:val="left"/>
              <w:rPr>
                <w:rStyle w:val="Glossary-Bold"/>
                <w:rFonts w:cs="Arial"/>
                <w:b w:val="0"/>
                <w:sz w:val="20"/>
                <w:szCs w:val="20"/>
              </w:rPr>
            </w:pPr>
            <w:r w:rsidRPr="00FF5476">
              <w:rPr>
                <w:rStyle w:val="Glossary-Bold"/>
                <w:rFonts w:cs="Arial"/>
                <w:b w:val="0"/>
                <w:sz w:val="20"/>
                <w:szCs w:val="20"/>
              </w:rPr>
              <w:t xml:space="preserve">Q&amp;A </w:t>
            </w:r>
            <w:r>
              <w:rPr>
                <w:rStyle w:val="Glossary-Bold"/>
                <w:rFonts w:cs="Arial"/>
                <w:b w:val="0"/>
                <w:sz w:val="20"/>
                <w:szCs w:val="20"/>
              </w:rPr>
              <w:t>13</w:t>
            </w:r>
          </w:p>
        </w:tc>
        <w:tc>
          <w:tcPr>
            <w:tcW w:w="1463" w:type="pct"/>
          </w:tcPr>
          <w:p w14:paraId="09422D0A" w14:textId="77777777" w:rsidR="000D0B51" w:rsidRPr="00FF5476" w:rsidRDefault="000D0B51" w:rsidP="00AE6CF7">
            <w:pPr>
              <w:spacing w:before="100" w:beforeAutospacing="1" w:after="100" w:afterAutospacing="1"/>
              <w:jc w:val="left"/>
              <w:rPr>
                <w:rStyle w:val="Glossary-Bold"/>
                <w:rFonts w:cs="Arial"/>
                <w:b w:val="0"/>
                <w:sz w:val="20"/>
                <w:szCs w:val="20"/>
              </w:rPr>
            </w:pPr>
            <w:r w:rsidRPr="00FF5476">
              <w:rPr>
                <w:rStyle w:val="Glossary-Bold"/>
                <w:rFonts w:cs="Arial"/>
                <w:b w:val="0"/>
                <w:sz w:val="20"/>
                <w:szCs w:val="20"/>
              </w:rPr>
              <w:t>Because CMS requires HIDE D-SNP plans have streamlined integrated enrollment processes, please clarify how the State's auto-enrollment methodology will assure compliance with CMS regulations.</w:t>
            </w:r>
          </w:p>
        </w:tc>
        <w:tc>
          <w:tcPr>
            <w:tcW w:w="1552" w:type="pct"/>
          </w:tcPr>
          <w:p w14:paraId="4AC682F8" w14:textId="77777777" w:rsidR="000D0B51" w:rsidRPr="00165A8C" w:rsidRDefault="00165A8C" w:rsidP="004736C5">
            <w:pPr>
              <w:pStyle w:val="Level1Body"/>
              <w:jc w:val="left"/>
              <w:rPr>
                <w:rFonts w:cs="Arial"/>
                <w:color w:val="auto"/>
                <w:sz w:val="20"/>
              </w:rPr>
            </w:pPr>
            <w:r w:rsidRPr="00165A8C">
              <w:rPr>
                <w:rFonts w:cs="Arial"/>
                <w:color w:val="auto"/>
                <w:sz w:val="20"/>
              </w:rPr>
              <w:t>DHHS continues to evaluate the auto-enrollment methodology for any needed future changes.  DHHS will ensure compliance with any applicable regulations. </w:t>
            </w:r>
          </w:p>
        </w:tc>
      </w:tr>
      <w:tr w:rsidR="0081334D" w:rsidRPr="00FF5476" w14:paraId="514EF78A" w14:textId="77777777" w:rsidTr="00AE6CF7">
        <w:tc>
          <w:tcPr>
            <w:tcW w:w="512" w:type="pct"/>
          </w:tcPr>
          <w:p w14:paraId="287EC433" w14:textId="77777777" w:rsidR="000D0B51" w:rsidRPr="00FF5476" w:rsidRDefault="000D0B51" w:rsidP="000D0B51">
            <w:pPr>
              <w:pStyle w:val="Level1Body"/>
              <w:numPr>
                <w:ilvl w:val="0"/>
                <w:numId w:val="42"/>
              </w:numPr>
              <w:rPr>
                <w:rFonts w:cs="Arial"/>
                <w:sz w:val="20"/>
              </w:rPr>
            </w:pPr>
          </w:p>
        </w:tc>
        <w:tc>
          <w:tcPr>
            <w:tcW w:w="820" w:type="pct"/>
          </w:tcPr>
          <w:p w14:paraId="22399F69" w14:textId="77777777" w:rsidR="000D0B51" w:rsidRDefault="000D0B51" w:rsidP="00AE6CF7">
            <w:pPr>
              <w:spacing w:line="252" w:lineRule="auto"/>
              <w:jc w:val="left"/>
              <w:rPr>
                <w:rStyle w:val="Glossary-Bold"/>
                <w:rFonts w:cs="Arial"/>
                <w:b w:val="0"/>
                <w:sz w:val="20"/>
                <w:szCs w:val="20"/>
              </w:rPr>
            </w:pPr>
            <w:r w:rsidRPr="00351892">
              <w:rPr>
                <w:rFonts w:cs="Arial"/>
                <w:sz w:val="20"/>
                <w:szCs w:val="20"/>
              </w:rPr>
              <w:t>Section V</w:t>
            </w:r>
            <w:r w:rsidRPr="00351892">
              <w:rPr>
                <w:rFonts w:cs="Arial"/>
                <w:sz w:val="20"/>
                <w:szCs w:val="20"/>
              </w:rPr>
              <w:br/>
              <w:t>B. 3.a and 3.e - Eligibility and Enrollment</w:t>
            </w:r>
          </w:p>
          <w:p w14:paraId="17A5528B" w14:textId="77777777" w:rsidR="000D0B51" w:rsidRDefault="000D0B51" w:rsidP="00AE6CF7">
            <w:pPr>
              <w:spacing w:line="252" w:lineRule="auto"/>
              <w:jc w:val="left"/>
              <w:rPr>
                <w:rStyle w:val="Glossary-Bold"/>
                <w:rFonts w:cs="Arial"/>
                <w:b w:val="0"/>
                <w:sz w:val="20"/>
                <w:szCs w:val="20"/>
              </w:rPr>
            </w:pPr>
          </w:p>
          <w:p w14:paraId="3C5C5857" w14:textId="77777777" w:rsidR="000D0B51" w:rsidRPr="00FF5476" w:rsidRDefault="000D0B51" w:rsidP="00AE6CF7">
            <w:pPr>
              <w:spacing w:line="252" w:lineRule="auto"/>
              <w:jc w:val="left"/>
              <w:rPr>
                <w:rFonts w:cs="Arial"/>
                <w:sz w:val="20"/>
                <w:szCs w:val="20"/>
              </w:rPr>
            </w:pPr>
            <w:r w:rsidRPr="00FF5476">
              <w:rPr>
                <w:rStyle w:val="Glossary-Bold"/>
                <w:rFonts w:cs="Arial"/>
                <w:b w:val="0"/>
                <w:sz w:val="20"/>
                <w:szCs w:val="20"/>
              </w:rPr>
              <w:t>Q&amp;A</w:t>
            </w:r>
            <w:r>
              <w:rPr>
                <w:rFonts w:cs="Arial"/>
                <w:color w:val="000000"/>
                <w:sz w:val="20"/>
                <w:szCs w:val="20"/>
              </w:rPr>
              <w:t xml:space="preserve"> </w:t>
            </w:r>
            <w:r w:rsidRPr="00FF5476">
              <w:rPr>
                <w:rFonts w:cs="Arial"/>
                <w:color w:val="000000"/>
                <w:sz w:val="20"/>
                <w:szCs w:val="20"/>
              </w:rPr>
              <w:t>39</w:t>
            </w:r>
          </w:p>
        </w:tc>
        <w:tc>
          <w:tcPr>
            <w:tcW w:w="652" w:type="pct"/>
          </w:tcPr>
          <w:p w14:paraId="3DB5E423" w14:textId="77777777" w:rsidR="000D0B51" w:rsidRDefault="000D0B51" w:rsidP="00AE6CF7">
            <w:pPr>
              <w:jc w:val="left"/>
              <w:rPr>
                <w:rFonts w:cs="Arial"/>
                <w:color w:val="000000"/>
                <w:sz w:val="20"/>
                <w:szCs w:val="20"/>
              </w:rPr>
            </w:pPr>
            <w:r>
              <w:rPr>
                <w:rFonts w:cs="Arial"/>
                <w:color w:val="000000"/>
                <w:sz w:val="20"/>
                <w:szCs w:val="20"/>
              </w:rPr>
              <w:t>RFP 30</w:t>
            </w:r>
          </w:p>
          <w:p w14:paraId="05FDE717" w14:textId="77777777" w:rsidR="000D0B51" w:rsidRDefault="000D0B51" w:rsidP="00AE6CF7">
            <w:pPr>
              <w:jc w:val="left"/>
              <w:rPr>
                <w:rFonts w:cs="Arial"/>
                <w:color w:val="000000"/>
                <w:sz w:val="20"/>
                <w:szCs w:val="20"/>
              </w:rPr>
            </w:pPr>
          </w:p>
          <w:p w14:paraId="7896FEB2" w14:textId="77777777" w:rsidR="000D0B51" w:rsidRDefault="000D0B51" w:rsidP="00AE6CF7">
            <w:pPr>
              <w:jc w:val="left"/>
              <w:rPr>
                <w:rFonts w:cs="Arial"/>
                <w:color w:val="000000"/>
                <w:sz w:val="20"/>
                <w:szCs w:val="20"/>
              </w:rPr>
            </w:pPr>
          </w:p>
          <w:p w14:paraId="53B5EC59" w14:textId="77777777" w:rsidR="000D0B51" w:rsidRDefault="000D0B51" w:rsidP="00AE6CF7">
            <w:pPr>
              <w:jc w:val="left"/>
              <w:rPr>
                <w:rFonts w:cs="Arial"/>
                <w:color w:val="000000"/>
                <w:sz w:val="20"/>
                <w:szCs w:val="20"/>
              </w:rPr>
            </w:pPr>
          </w:p>
          <w:p w14:paraId="0538EB93" w14:textId="77777777" w:rsidR="000D0B51" w:rsidRDefault="000D0B51" w:rsidP="00AE6CF7">
            <w:pPr>
              <w:jc w:val="left"/>
              <w:rPr>
                <w:rFonts w:cs="Arial"/>
                <w:color w:val="000000"/>
                <w:sz w:val="20"/>
                <w:szCs w:val="20"/>
              </w:rPr>
            </w:pPr>
          </w:p>
          <w:p w14:paraId="73B226B0" w14:textId="77777777" w:rsidR="000D0B51" w:rsidRPr="00FF5476" w:rsidRDefault="000D0B51" w:rsidP="00AE6CF7">
            <w:pPr>
              <w:jc w:val="left"/>
              <w:rPr>
                <w:rFonts w:cs="Arial"/>
                <w:sz w:val="20"/>
                <w:szCs w:val="20"/>
              </w:rPr>
            </w:pPr>
            <w:r>
              <w:rPr>
                <w:rFonts w:cs="Arial"/>
                <w:sz w:val="20"/>
                <w:szCs w:val="20"/>
              </w:rPr>
              <w:t>Q&amp;A 15</w:t>
            </w:r>
          </w:p>
        </w:tc>
        <w:tc>
          <w:tcPr>
            <w:tcW w:w="1463" w:type="pct"/>
          </w:tcPr>
          <w:p w14:paraId="1483284C" w14:textId="77777777" w:rsidR="000D0B51" w:rsidRPr="00FF5476" w:rsidRDefault="000D0B51" w:rsidP="00AE6CF7">
            <w:pPr>
              <w:spacing w:before="100" w:beforeAutospacing="1" w:after="100" w:afterAutospacing="1"/>
              <w:jc w:val="left"/>
              <w:rPr>
                <w:rFonts w:cs="Arial"/>
                <w:sz w:val="20"/>
                <w:szCs w:val="20"/>
              </w:rPr>
            </w:pPr>
            <w:r w:rsidRPr="00FF5476">
              <w:rPr>
                <w:rFonts w:cs="Arial"/>
                <w:color w:val="000000"/>
                <w:sz w:val="20"/>
                <w:szCs w:val="20"/>
              </w:rPr>
              <w:t>Please clarify the part of the answer stating "The state will explore risk adjustment beginning no later than the second full year contract period".  Please confirm first year of the contract will be 7/1/2023 – 6/30/2024, and risk adjustment will be considered no later than 7/1/2024.</w:t>
            </w:r>
          </w:p>
        </w:tc>
        <w:tc>
          <w:tcPr>
            <w:tcW w:w="1552" w:type="pct"/>
          </w:tcPr>
          <w:p w14:paraId="06ADB6EB" w14:textId="77777777" w:rsidR="000D0B51" w:rsidRPr="004736C5" w:rsidRDefault="000D0C72" w:rsidP="00150E62">
            <w:pPr>
              <w:pStyle w:val="Level1Body"/>
              <w:jc w:val="left"/>
              <w:rPr>
                <w:rFonts w:cs="Arial"/>
                <w:sz w:val="20"/>
              </w:rPr>
            </w:pPr>
            <w:r w:rsidRPr="004736C5">
              <w:rPr>
                <w:rFonts w:cs="Arial"/>
                <w:color w:val="auto"/>
                <w:sz w:val="20"/>
              </w:rPr>
              <w:t xml:space="preserve">MLTC clarifies that if the contract starts </w:t>
            </w:r>
            <w:r w:rsidR="00150E62">
              <w:rPr>
                <w:rFonts w:cs="Arial"/>
                <w:color w:val="auto"/>
                <w:sz w:val="20"/>
              </w:rPr>
              <w:t xml:space="preserve">July 1, </w:t>
            </w:r>
            <w:r w:rsidRPr="004736C5">
              <w:rPr>
                <w:rFonts w:cs="Arial"/>
                <w:color w:val="auto"/>
                <w:sz w:val="20"/>
              </w:rPr>
              <w:t xml:space="preserve">2023, the first contract period would be truncated to </w:t>
            </w:r>
            <w:r w:rsidR="00150E62">
              <w:rPr>
                <w:rFonts w:cs="Arial"/>
                <w:color w:val="auto"/>
                <w:sz w:val="20"/>
              </w:rPr>
              <w:t xml:space="preserve">July 1, </w:t>
            </w:r>
            <w:r w:rsidRPr="004736C5">
              <w:rPr>
                <w:rFonts w:cs="Arial"/>
                <w:color w:val="auto"/>
                <w:sz w:val="20"/>
              </w:rPr>
              <w:t xml:space="preserve">2023 – </w:t>
            </w:r>
            <w:r w:rsidR="00150E62">
              <w:rPr>
                <w:rFonts w:cs="Arial"/>
                <w:color w:val="auto"/>
                <w:sz w:val="20"/>
              </w:rPr>
              <w:t>December 31,</w:t>
            </w:r>
            <w:r w:rsidRPr="004736C5">
              <w:rPr>
                <w:rFonts w:cs="Arial"/>
                <w:color w:val="auto"/>
                <w:sz w:val="20"/>
              </w:rPr>
              <w:t xml:space="preserve">2023 and the first full contract period would then be </w:t>
            </w:r>
            <w:r w:rsidR="00150E62">
              <w:rPr>
                <w:rFonts w:cs="Arial"/>
                <w:color w:val="auto"/>
                <w:sz w:val="20"/>
              </w:rPr>
              <w:t xml:space="preserve">January 1, </w:t>
            </w:r>
            <w:r w:rsidRPr="004736C5">
              <w:rPr>
                <w:rFonts w:cs="Arial"/>
                <w:color w:val="auto"/>
                <w:sz w:val="20"/>
              </w:rPr>
              <w:t xml:space="preserve">2024 – </w:t>
            </w:r>
            <w:r w:rsidR="00150E62">
              <w:rPr>
                <w:rFonts w:cs="Arial"/>
                <w:color w:val="auto"/>
                <w:sz w:val="20"/>
              </w:rPr>
              <w:t xml:space="preserve">December 31, </w:t>
            </w:r>
            <w:r w:rsidRPr="004736C5">
              <w:rPr>
                <w:rFonts w:cs="Arial"/>
                <w:color w:val="auto"/>
                <w:sz w:val="20"/>
              </w:rPr>
              <w:t xml:space="preserve">2024.  The state will consult with the actuary to monitor the program and implement or alter risk mitigation strategies at the </w:t>
            </w:r>
            <w:r w:rsidR="004110C5">
              <w:rPr>
                <w:rFonts w:cs="Arial"/>
                <w:color w:val="auto"/>
                <w:sz w:val="20"/>
              </w:rPr>
              <w:t>MLTC’s</w:t>
            </w:r>
            <w:r w:rsidR="004110C5" w:rsidRPr="004736C5">
              <w:rPr>
                <w:rFonts w:cs="Arial"/>
                <w:color w:val="auto"/>
                <w:sz w:val="20"/>
              </w:rPr>
              <w:t xml:space="preserve"> </w:t>
            </w:r>
            <w:r w:rsidRPr="004736C5">
              <w:rPr>
                <w:rFonts w:cs="Arial"/>
                <w:color w:val="auto"/>
                <w:sz w:val="20"/>
              </w:rPr>
              <w:t>discretion with input from the actuary and the MCOs.</w:t>
            </w:r>
          </w:p>
        </w:tc>
      </w:tr>
      <w:tr w:rsidR="0081334D" w:rsidRPr="00FF5476" w14:paraId="23B92C5C" w14:textId="77777777" w:rsidTr="00AE6CF7">
        <w:tc>
          <w:tcPr>
            <w:tcW w:w="512" w:type="pct"/>
          </w:tcPr>
          <w:p w14:paraId="5D7B3C60" w14:textId="77777777" w:rsidR="000D0B51" w:rsidRPr="00FF5476" w:rsidRDefault="000D0B51" w:rsidP="000D0B51">
            <w:pPr>
              <w:pStyle w:val="Level1Body"/>
              <w:numPr>
                <w:ilvl w:val="0"/>
                <w:numId w:val="42"/>
              </w:numPr>
              <w:rPr>
                <w:rFonts w:cs="Arial"/>
                <w:sz w:val="20"/>
              </w:rPr>
            </w:pPr>
          </w:p>
        </w:tc>
        <w:tc>
          <w:tcPr>
            <w:tcW w:w="820" w:type="pct"/>
          </w:tcPr>
          <w:p w14:paraId="5BC82782" w14:textId="77777777" w:rsidR="000D0B51" w:rsidRDefault="000D0B51" w:rsidP="00AE6CF7">
            <w:pPr>
              <w:spacing w:line="252" w:lineRule="auto"/>
              <w:jc w:val="left"/>
              <w:rPr>
                <w:rFonts w:cs="Arial"/>
                <w:sz w:val="20"/>
                <w:szCs w:val="20"/>
              </w:rPr>
            </w:pPr>
            <w:r w:rsidRPr="00351892">
              <w:rPr>
                <w:rFonts w:cs="Arial"/>
                <w:sz w:val="20"/>
                <w:szCs w:val="20"/>
              </w:rPr>
              <w:t>Section V.B.3. - Eligibility and Enrollment</w:t>
            </w:r>
          </w:p>
          <w:p w14:paraId="28A09100" w14:textId="77777777" w:rsidR="000D0B51" w:rsidRDefault="000D0B51" w:rsidP="00AE6CF7">
            <w:pPr>
              <w:spacing w:line="252" w:lineRule="auto"/>
              <w:jc w:val="left"/>
              <w:rPr>
                <w:rFonts w:cs="Arial"/>
                <w:sz w:val="20"/>
                <w:szCs w:val="20"/>
              </w:rPr>
            </w:pPr>
          </w:p>
          <w:p w14:paraId="32E7809F" w14:textId="77777777" w:rsidR="000D0B51" w:rsidRPr="00FF5476" w:rsidRDefault="000D0B51" w:rsidP="00AE6CF7">
            <w:pPr>
              <w:spacing w:line="252" w:lineRule="auto"/>
              <w:jc w:val="left"/>
              <w:rPr>
                <w:rFonts w:cs="Arial"/>
                <w:color w:val="000000"/>
                <w:sz w:val="20"/>
                <w:szCs w:val="20"/>
              </w:rPr>
            </w:pPr>
            <w:r w:rsidRPr="00FF5476">
              <w:rPr>
                <w:rStyle w:val="Glossary-Bold"/>
                <w:rFonts w:cs="Arial"/>
                <w:b w:val="0"/>
                <w:sz w:val="20"/>
                <w:szCs w:val="20"/>
              </w:rPr>
              <w:lastRenderedPageBreak/>
              <w:t>Q&amp;A</w:t>
            </w:r>
            <w:r>
              <w:rPr>
                <w:rFonts w:cs="Arial"/>
                <w:color w:val="000000"/>
                <w:sz w:val="20"/>
                <w:szCs w:val="20"/>
              </w:rPr>
              <w:t xml:space="preserve"> 41</w:t>
            </w:r>
          </w:p>
        </w:tc>
        <w:tc>
          <w:tcPr>
            <w:tcW w:w="652" w:type="pct"/>
          </w:tcPr>
          <w:p w14:paraId="763E2282" w14:textId="77777777" w:rsidR="000D0B51" w:rsidRDefault="000D0B51" w:rsidP="00AE6CF7">
            <w:pPr>
              <w:jc w:val="left"/>
              <w:rPr>
                <w:rFonts w:cs="Arial"/>
                <w:color w:val="000000" w:themeColor="text1"/>
                <w:sz w:val="20"/>
                <w:szCs w:val="20"/>
              </w:rPr>
            </w:pPr>
            <w:r>
              <w:rPr>
                <w:rFonts w:cs="Arial"/>
                <w:color w:val="000000" w:themeColor="text1"/>
                <w:sz w:val="20"/>
                <w:szCs w:val="20"/>
              </w:rPr>
              <w:lastRenderedPageBreak/>
              <w:t xml:space="preserve">RFP </w:t>
            </w:r>
            <w:r w:rsidRPr="00FF5476">
              <w:rPr>
                <w:rFonts w:cs="Arial"/>
                <w:color w:val="000000" w:themeColor="text1"/>
                <w:sz w:val="20"/>
                <w:szCs w:val="20"/>
              </w:rPr>
              <w:t>30</w:t>
            </w:r>
          </w:p>
          <w:p w14:paraId="48BED1C2" w14:textId="77777777" w:rsidR="000D0B51" w:rsidRDefault="000D0B51" w:rsidP="00AE6CF7">
            <w:pPr>
              <w:jc w:val="left"/>
              <w:rPr>
                <w:rFonts w:cs="Arial"/>
                <w:color w:val="000000" w:themeColor="text1"/>
                <w:sz w:val="20"/>
                <w:szCs w:val="20"/>
              </w:rPr>
            </w:pPr>
          </w:p>
          <w:p w14:paraId="5B81D51E" w14:textId="77777777" w:rsidR="000D0B51" w:rsidRDefault="000D0B51" w:rsidP="00AE6CF7">
            <w:pPr>
              <w:jc w:val="left"/>
              <w:rPr>
                <w:rFonts w:cs="Arial"/>
                <w:color w:val="000000" w:themeColor="text1"/>
                <w:sz w:val="20"/>
                <w:szCs w:val="20"/>
              </w:rPr>
            </w:pPr>
          </w:p>
          <w:p w14:paraId="1ED9D158" w14:textId="77777777" w:rsidR="000D0B51" w:rsidRDefault="000D0B51" w:rsidP="00AE6CF7">
            <w:pPr>
              <w:jc w:val="left"/>
              <w:rPr>
                <w:rFonts w:cs="Arial"/>
                <w:color w:val="000000" w:themeColor="text1"/>
                <w:sz w:val="20"/>
                <w:szCs w:val="20"/>
              </w:rPr>
            </w:pPr>
          </w:p>
          <w:p w14:paraId="2540D099" w14:textId="77777777" w:rsidR="000D0B51" w:rsidRPr="00FF5476" w:rsidRDefault="000D0B51" w:rsidP="00AE6CF7">
            <w:pPr>
              <w:jc w:val="left"/>
              <w:rPr>
                <w:rFonts w:cs="Arial"/>
                <w:color w:val="000000"/>
                <w:sz w:val="20"/>
                <w:szCs w:val="20"/>
              </w:rPr>
            </w:pPr>
            <w:r w:rsidRPr="00FF5476">
              <w:rPr>
                <w:rStyle w:val="Glossary-Bold"/>
                <w:rFonts w:cs="Arial"/>
                <w:b w:val="0"/>
                <w:sz w:val="20"/>
                <w:szCs w:val="20"/>
              </w:rPr>
              <w:lastRenderedPageBreak/>
              <w:t>Q&amp;A</w:t>
            </w:r>
            <w:r>
              <w:rPr>
                <w:rFonts w:cs="Arial"/>
                <w:color w:val="000000"/>
                <w:sz w:val="20"/>
                <w:szCs w:val="20"/>
              </w:rPr>
              <w:t xml:space="preserve"> 16</w:t>
            </w:r>
          </w:p>
        </w:tc>
        <w:tc>
          <w:tcPr>
            <w:tcW w:w="1463" w:type="pct"/>
          </w:tcPr>
          <w:p w14:paraId="428F36D4" w14:textId="77777777" w:rsidR="000D0B51" w:rsidRPr="00FF5476" w:rsidRDefault="000D0B51" w:rsidP="00AE6CF7">
            <w:pPr>
              <w:jc w:val="left"/>
              <w:rPr>
                <w:rFonts w:cs="Arial"/>
                <w:color w:val="000000" w:themeColor="text1"/>
                <w:sz w:val="20"/>
                <w:szCs w:val="20"/>
              </w:rPr>
            </w:pPr>
            <w:r w:rsidRPr="00FF5476">
              <w:rPr>
                <w:rFonts w:cs="Arial"/>
                <w:color w:val="000000" w:themeColor="text1"/>
                <w:sz w:val="20"/>
                <w:szCs w:val="20"/>
              </w:rPr>
              <w:lastRenderedPageBreak/>
              <w:t xml:space="preserve">In follow up to the response provided for question 41 in round one. Would the state be willing to consider providing a supplemental eligibility file </w:t>
            </w:r>
            <w:r w:rsidRPr="00FF5476">
              <w:rPr>
                <w:rFonts w:cs="Arial"/>
                <w:color w:val="000000" w:themeColor="text1"/>
                <w:sz w:val="20"/>
                <w:szCs w:val="20"/>
              </w:rPr>
              <w:lastRenderedPageBreak/>
              <w:t xml:space="preserve">with PCP assignments to each MCO prior to go live to allow MCOs to honor PCP relationships to all existing members for the initial continuity of care period? </w:t>
            </w:r>
          </w:p>
          <w:p w14:paraId="0B37342B" w14:textId="77777777" w:rsidR="000D0B51" w:rsidRPr="00FF5476" w:rsidRDefault="000D0B51" w:rsidP="00AE6CF7">
            <w:pPr>
              <w:jc w:val="left"/>
              <w:rPr>
                <w:rFonts w:cs="Arial"/>
                <w:color w:val="000000" w:themeColor="text1"/>
                <w:sz w:val="20"/>
                <w:szCs w:val="20"/>
              </w:rPr>
            </w:pPr>
          </w:p>
          <w:p w14:paraId="5FD8FE3B" w14:textId="77777777" w:rsidR="000D0B51" w:rsidRPr="00FF5476" w:rsidRDefault="000D0B51" w:rsidP="00AE6CF7">
            <w:pPr>
              <w:spacing w:before="100" w:beforeAutospacing="1" w:after="100" w:afterAutospacing="1"/>
              <w:jc w:val="left"/>
              <w:rPr>
                <w:rFonts w:cs="Arial"/>
                <w:color w:val="000000"/>
                <w:sz w:val="20"/>
                <w:szCs w:val="20"/>
              </w:rPr>
            </w:pPr>
            <w:r w:rsidRPr="00FF5476">
              <w:rPr>
                <w:rFonts w:cs="Arial"/>
                <w:color w:val="000000" w:themeColor="text1"/>
                <w:sz w:val="20"/>
                <w:szCs w:val="20"/>
              </w:rPr>
              <w:t>This approach would ensure a less disruptive transition for members and providers, giving members up to 90 days to maintain their existing PCP relationship. This timeframe would also align with MCO member engagement requirements, ensuring MCOs have made initial contact with members prior to making any necessary PCP changes identified by the state approved auto-assignment algorithms.</w:t>
            </w:r>
          </w:p>
        </w:tc>
        <w:tc>
          <w:tcPr>
            <w:tcW w:w="1552" w:type="pct"/>
          </w:tcPr>
          <w:p w14:paraId="229E0882" w14:textId="77777777" w:rsidR="000D0B51" w:rsidRPr="004736C5" w:rsidRDefault="003306ED" w:rsidP="00150E62">
            <w:pPr>
              <w:pStyle w:val="Level1Body"/>
              <w:jc w:val="left"/>
              <w:rPr>
                <w:rFonts w:cs="Arial"/>
                <w:sz w:val="20"/>
              </w:rPr>
            </w:pPr>
            <w:r w:rsidRPr="004736C5">
              <w:rPr>
                <w:rFonts w:cs="Arial"/>
                <w:sz w:val="20"/>
              </w:rPr>
              <w:lastRenderedPageBreak/>
              <w:t>MLTC will provide a supplemental eligibility file with PCP assignments prior to the Contract Start Date. This will be vetted during implementation.</w:t>
            </w:r>
          </w:p>
        </w:tc>
      </w:tr>
      <w:tr w:rsidR="007120FA" w:rsidRPr="00FF5476" w14:paraId="22477A53" w14:textId="77777777" w:rsidTr="00AE6CF7">
        <w:tc>
          <w:tcPr>
            <w:tcW w:w="512" w:type="pct"/>
          </w:tcPr>
          <w:p w14:paraId="11E783B1" w14:textId="77777777" w:rsidR="007120FA" w:rsidRPr="00FF5476" w:rsidRDefault="007120FA" w:rsidP="007120FA">
            <w:pPr>
              <w:pStyle w:val="Level1Body"/>
              <w:numPr>
                <w:ilvl w:val="0"/>
                <w:numId w:val="42"/>
              </w:numPr>
              <w:rPr>
                <w:rFonts w:cs="Arial"/>
                <w:sz w:val="20"/>
              </w:rPr>
            </w:pPr>
          </w:p>
        </w:tc>
        <w:tc>
          <w:tcPr>
            <w:tcW w:w="820" w:type="pct"/>
          </w:tcPr>
          <w:p w14:paraId="79B3CE9A" w14:textId="77777777" w:rsidR="007120FA" w:rsidRPr="00351892" w:rsidRDefault="007120FA" w:rsidP="00AE6CF7">
            <w:pPr>
              <w:jc w:val="left"/>
              <w:rPr>
                <w:rFonts w:cs="Arial"/>
                <w:sz w:val="20"/>
                <w:szCs w:val="20"/>
              </w:rPr>
            </w:pPr>
            <w:r w:rsidRPr="00351892">
              <w:rPr>
                <w:rFonts w:cs="Arial"/>
                <w:sz w:val="20"/>
                <w:szCs w:val="20"/>
              </w:rPr>
              <w:t>Section V. D. Table 1 – Staffing Requirements</w:t>
            </w:r>
          </w:p>
          <w:p w14:paraId="0209D7B8" w14:textId="77777777" w:rsidR="007120FA" w:rsidRPr="00351892" w:rsidRDefault="007120FA" w:rsidP="00AE6CF7">
            <w:pPr>
              <w:jc w:val="left"/>
              <w:rPr>
                <w:rFonts w:cs="Arial"/>
                <w:sz w:val="20"/>
                <w:szCs w:val="20"/>
              </w:rPr>
            </w:pPr>
          </w:p>
          <w:p w14:paraId="4EA5655D" w14:textId="77777777" w:rsidR="007120FA" w:rsidRDefault="007120FA" w:rsidP="00AE6CF7">
            <w:pPr>
              <w:spacing w:line="252" w:lineRule="auto"/>
              <w:jc w:val="left"/>
              <w:rPr>
                <w:rFonts w:cs="Arial"/>
                <w:sz w:val="20"/>
                <w:szCs w:val="20"/>
              </w:rPr>
            </w:pPr>
            <w:r w:rsidRPr="00351892">
              <w:rPr>
                <w:rFonts w:cs="Arial"/>
                <w:sz w:val="20"/>
                <w:szCs w:val="20"/>
              </w:rPr>
              <w:t>Section V. F. – Member Services and Education</w:t>
            </w:r>
          </w:p>
          <w:p w14:paraId="3A2E917B" w14:textId="77777777" w:rsidR="007120FA" w:rsidRDefault="007120FA" w:rsidP="00AE6CF7">
            <w:pPr>
              <w:spacing w:line="252" w:lineRule="auto"/>
              <w:jc w:val="left"/>
              <w:rPr>
                <w:rFonts w:cs="Arial"/>
                <w:sz w:val="20"/>
                <w:szCs w:val="20"/>
              </w:rPr>
            </w:pPr>
          </w:p>
          <w:p w14:paraId="278FED5B" w14:textId="77777777" w:rsidR="007120FA" w:rsidRPr="00351892" w:rsidRDefault="007120FA" w:rsidP="00AE6CF7">
            <w:pPr>
              <w:spacing w:line="252" w:lineRule="auto"/>
              <w:jc w:val="left"/>
              <w:rPr>
                <w:rFonts w:cs="Arial"/>
                <w:sz w:val="20"/>
                <w:szCs w:val="20"/>
              </w:rPr>
            </w:pPr>
            <w:r>
              <w:rPr>
                <w:rFonts w:cs="Arial"/>
                <w:sz w:val="20"/>
                <w:szCs w:val="20"/>
              </w:rPr>
              <w:t>Q&amp;A 44</w:t>
            </w:r>
          </w:p>
        </w:tc>
        <w:tc>
          <w:tcPr>
            <w:tcW w:w="652" w:type="pct"/>
          </w:tcPr>
          <w:p w14:paraId="57919572" w14:textId="77777777" w:rsidR="007120FA" w:rsidRPr="00911FEA" w:rsidRDefault="007120FA" w:rsidP="00AE6CF7">
            <w:pPr>
              <w:jc w:val="left"/>
              <w:rPr>
                <w:rStyle w:val="normaltextrun"/>
                <w:rFonts w:cs="Arial"/>
                <w:color w:val="000000"/>
                <w:sz w:val="20"/>
                <w:szCs w:val="20"/>
              </w:rPr>
            </w:pPr>
            <w:r w:rsidRPr="00911FEA">
              <w:rPr>
                <w:rStyle w:val="Heading4Char"/>
                <w:rFonts w:cs="Arial"/>
                <w:b w:val="0"/>
                <w:color w:val="000000"/>
                <w:sz w:val="20"/>
                <w:szCs w:val="20"/>
              </w:rPr>
              <w:t>RFP 4</w:t>
            </w:r>
            <w:r w:rsidRPr="00911FEA">
              <w:rPr>
                <w:rStyle w:val="normaltextrun"/>
                <w:rFonts w:cs="Arial"/>
                <w:color w:val="000000"/>
                <w:sz w:val="20"/>
                <w:szCs w:val="20"/>
              </w:rPr>
              <w:t>2/70</w:t>
            </w:r>
          </w:p>
          <w:p w14:paraId="071F2B02" w14:textId="77777777" w:rsidR="007120FA" w:rsidRPr="00911FEA" w:rsidRDefault="007120FA" w:rsidP="00AE6CF7">
            <w:pPr>
              <w:jc w:val="left"/>
              <w:rPr>
                <w:rStyle w:val="normaltextrun"/>
                <w:rFonts w:cs="Arial"/>
                <w:color w:val="000000"/>
                <w:sz w:val="20"/>
                <w:szCs w:val="20"/>
              </w:rPr>
            </w:pPr>
          </w:p>
          <w:p w14:paraId="51C1911D" w14:textId="77777777" w:rsidR="007120FA" w:rsidRPr="00911FEA" w:rsidRDefault="007120FA" w:rsidP="00AE6CF7">
            <w:pPr>
              <w:jc w:val="left"/>
              <w:rPr>
                <w:rStyle w:val="normaltextrun"/>
                <w:rFonts w:cs="Arial"/>
                <w:color w:val="000000"/>
                <w:sz w:val="20"/>
                <w:szCs w:val="20"/>
              </w:rPr>
            </w:pPr>
          </w:p>
          <w:p w14:paraId="09E8F7E1" w14:textId="77777777" w:rsidR="007120FA" w:rsidRPr="00911FEA" w:rsidRDefault="007120FA" w:rsidP="00AE6CF7">
            <w:pPr>
              <w:jc w:val="left"/>
              <w:rPr>
                <w:rStyle w:val="normaltextrun"/>
                <w:rFonts w:cs="Arial"/>
                <w:color w:val="000000"/>
                <w:sz w:val="20"/>
                <w:szCs w:val="20"/>
              </w:rPr>
            </w:pPr>
          </w:p>
          <w:p w14:paraId="497A2D42" w14:textId="77777777" w:rsidR="007120FA" w:rsidRPr="00911FEA" w:rsidRDefault="007120FA" w:rsidP="00AE6CF7">
            <w:pPr>
              <w:jc w:val="left"/>
              <w:rPr>
                <w:rStyle w:val="normaltextrun"/>
                <w:rFonts w:cs="Arial"/>
                <w:color w:val="000000"/>
                <w:sz w:val="20"/>
                <w:szCs w:val="20"/>
              </w:rPr>
            </w:pPr>
          </w:p>
          <w:p w14:paraId="6F27117E" w14:textId="77777777" w:rsidR="007120FA" w:rsidRPr="00911FEA" w:rsidRDefault="007120FA" w:rsidP="00AE6CF7">
            <w:pPr>
              <w:jc w:val="left"/>
              <w:rPr>
                <w:rStyle w:val="normaltextrun"/>
                <w:rFonts w:cs="Arial"/>
                <w:color w:val="000000"/>
                <w:sz w:val="20"/>
                <w:szCs w:val="20"/>
              </w:rPr>
            </w:pPr>
          </w:p>
          <w:p w14:paraId="48D70AC8" w14:textId="77777777" w:rsidR="007120FA" w:rsidRPr="00911FEA" w:rsidRDefault="007120FA" w:rsidP="00AE6CF7">
            <w:pPr>
              <w:jc w:val="left"/>
              <w:rPr>
                <w:rStyle w:val="normaltextrun"/>
                <w:rFonts w:cs="Arial"/>
                <w:color w:val="000000"/>
                <w:sz w:val="20"/>
                <w:szCs w:val="20"/>
              </w:rPr>
            </w:pPr>
          </w:p>
          <w:p w14:paraId="7CC565CE" w14:textId="77777777" w:rsidR="007120FA" w:rsidRPr="00911FEA" w:rsidRDefault="007120FA" w:rsidP="00AE6CF7">
            <w:pPr>
              <w:jc w:val="left"/>
              <w:rPr>
                <w:rStyle w:val="normaltextrun"/>
                <w:rFonts w:cs="Arial"/>
                <w:color w:val="000000"/>
                <w:sz w:val="20"/>
                <w:szCs w:val="20"/>
              </w:rPr>
            </w:pPr>
          </w:p>
          <w:p w14:paraId="3BDF9728" w14:textId="77777777" w:rsidR="007120FA" w:rsidRPr="00911FEA" w:rsidRDefault="007120FA" w:rsidP="00AE6CF7">
            <w:pPr>
              <w:jc w:val="left"/>
              <w:rPr>
                <w:rStyle w:val="normaltextrun"/>
                <w:rFonts w:cs="Arial"/>
                <w:color w:val="000000"/>
                <w:sz w:val="20"/>
                <w:szCs w:val="20"/>
              </w:rPr>
            </w:pPr>
          </w:p>
          <w:p w14:paraId="0BB6B52C" w14:textId="77777777" w:rsidR="007120FA" w:rsidRPr="00911FEA" w:rsidRDefault="007120FA" w:rsidP="00AE6CF7">
            <w:pPr>
              <w:jc w:val="left"/>
              <w:rPr>
                <w:rStyle w:val="normaltextrun"/>
                <w:rFonts w:cs="Arial"/>
                <w:color w:val="000000"/>
                <w:sz w:val="20"/>
                <w:szCs w:val="20"/>
              </w:rPr>
            </w:pPr>
          </w:p>
          <w:p w14:paraId="7B511214" w14:textId="77777777" w:rsidR="007120FA" w:rsidRPr="00911FEA" w:rsidRDefault="007120FA" w:rsidP="00AE6CF7">
            <w:pPr>
              <w:jc w:val="left"/>
              <w:rPr>
                <w:rFonts w:cs="Arial"/>
                <w:color w:val="000000" w:themeColor="text1"/>
                <w:sz w:val="20"/>
                <w:szCs w:val="20"/>
              </w:rPr>
            </w:pPr>
            <w:r w:rsidRPr="00911FEA">
              <w:rPr>
                <w:rFonts w:cs="Arial"/>
                <w:sz w:val="20"/>
                <w:szCs w:val="20"/>
              </w:rPr>
              <w:t>Q&amp;A 17</w:t>
            </w:r>
          </w:p>
        </w:tc>
        <w:tc>
          <w:tcPr>
            <w:tcW w:w="1463" w:type="pct"/>
          </w:tcPr>
          <w:p w14:paraId="702F72D6" w14:textId="77777777" w:rsidR="007120FA" w:rsidRPr="00911FEA" w:rsidRDefault="007120FA" w:rsidP="00AE6CF7">
            <w:pPr>
              <w:jc w:val="left"/>
              <w:rPr>
                <w:rFonts w:cs="Arial"/>
                <w:color w:val="000000" w:themeColor="text1"/>
                <w:sz w:val="20"/>
                <w:szCs w:val="20"/>
              </w:rPr>
            </w:pPr>
            <w:r w:rsidRPr="00911FEA">
              <w:rPr>
                <w:rStyle w:val="Heading4Char"/>
                <w:rFonts w:cs="Arial"/>
                <w:b w:val="0"/>
                <w:color w:val="000000"/>
                <w:sz w:val="20"/>
                <w:szCs w:val="20"/>
              </w:rPr>
              <w:t>A</w:t>
            </w:r>
            <w:r w:rsidRPr="00911FEA">
              <w:rPr>
                <w:rStyle w:val="normaltextrun"/>
                <w:rFonts w:cs="Arial"/>
                <w:color w:val="000000"/>
                <w:sz w:val="20"/>
                <w:szCs w:val="20"/>
              </w:rPr>
              <w:t xml:space="preserve">dditional guidance is requested on the preferred method of management for new infants and mothers related to the 599 CHIP program and the assignment of these individuals to MCOs.  Management guidance is specifically sought regarding provider billing for the 30 days after the child is born and on Medicaid. </w:t>
            </w:r>
          </w:p>
        </w:tc>
        <w:tc>
          <w:tcPr>
            <w:tcW w:w="1552" w:type="pct"/>
          </w:tcPr>
          <w:p w14:paraId="67557965" w14:textId="77777777" w:rsidR="007120FA" w:rsidRDefault="007120FA" w:rsidP="000D0C72">
            <w:pPr>
              <w:jc w:val="left"/>
              <w:rPr>
                <w:rFonts w:cs="Arial"/>
                <w:sz w:val="20"/>
                <w:szCs w:val="20"/>
              </w:rPr>
            </w:pPr>
            <w:r w:rsidRPr="00351892">
              <w:rPr>
                <w:rFonts w:cs="Arial"/>
                <w:sz w:val="20"/>
                <w:szCs w:val="20"/>
              </w:rPr>
              <w:t>Staffing expectation is defined in the staffing chart. In addition to the MCH/EPSDT Coordinator the Medical Management Coordinator and Care Management Staff would work together to provide comprehensive care and case managements for members in the 599 CHIP program.</w:t>
            </w:r>
          </w:p>
          <w:p w14:paraId="551F090F" w14:textId="77777777" w:rsidR="007120FA" w:rsidRDefault="007120FA" w:rsidP="007120FA">
            <w:pPr>
              <w:rPr>
                <w:rFonts w:cs="Arial"/>
                <w:sz w:val="20"/>
                <w:szCs w:val="20"/>
              </w:rPr>
            </w:pPr>
          </w:p>
          <w:p w14:paraId="22AB5779" w14:textId="77777777" w:rsidR="007120FA" w:rsidRDefault="007120FA" w:rsidP="005B6562">
            <w:pPr>
              <w:pStyle w:val="Level1Body"/>
              <w:jc w:val="left"/>
              <w:rPr>
                <w:rFonts w:cs="Arial"/>
                <w:sz w:val="20"/>
              </w:rPr>
            </w:pPr>
            <w:r w:rsidRPr="007120FA">
              <w:rPr>
                <w:rFonts w:cs="Arial"/>
                <w:color w:val="auto"/>
                <w:sz w:val="20"/>
              </w:rPr>
              <w:t xml:space="preserve">Unborn children cannot be enrolled with an MCO until birth. Hospitals are responsible to notify the county of all deliveries, including Medicaid enrollees. Providers and MCOs who interact with the pregnant member can encourage them to provide pregnancy and birth updates to ACCESSNebraska. Providers can also provide a change report to ACCESSNebraska to report the birth of a child. MLTC communicates enrollment data to the MCOs daily. In order to </w:t>
            </w:r>
            <w:r w:rsidR="005B6562">
              <w:rPr>
                <w:rFonts w:cs="Arial"/>
                <w:color w:val="auto"/>
                <w:sz w:val="20"/>
              </w:rPr>
              <w:t>ensure</w:t>
            </w:r>
            <w:r w:rsidR="005B6562" w:rsidRPr="007120FA">
              <w:rPr>
                <w:rFonts w:cs="Arial"/>
                <w:color w:val="auto"/>
                <w:sz w:val="20"/>
              </w:rPr>
              <w:t xml:space="preserve"> </w:t>
            </w:r>
            <w:r w:rsidRPr="007120FA">
              <w:rPr>
                <w:rFonts w:cs="Arial"/>
                <w:color w:val="auto"/>
                <w:sz w:val="20"/>
              </w:rPr>
              <w:t xml:space="preserve">timely payment of claims providers should check enrollment systems often until the infant is assigned to an MCO. The infant’s assignment to this MCO begins on the date of their birth. </w:t>
            </w:r>
          </w:p>
        </w:tc>
      </w:tr>
      <w:tr w:rsidR="0081334D" w:rsidRPr="00FF5476" w14:paraId="4E5F697D" w14:textId="77777777" w:rsidTr="005B6562">
        <w:tc>
          <w:tcPr>
            <w:tcW w:w="512" w:type="pct"/>
          </w:tcPr>
          <w:p w14:paraId="2B2C92ED" w14:textId="77777777" w:rsidR="007120FA" w:rsidRPr="00FF5476" w:rsidRDefault="007120FA" w:rsidP="007120FA">
            <w:pPr>
              <w:pStyle w:val="Level1Body"/>
              <w:numPr>
                <w:ilvl w:val="0"/>
                <w:numId w:val="42"/>
              </w:numPr>
              <w:rPr>
                <w:rFonts w:cs="Arial"/>
                <w:sz w:val="20"/>
              </w:rPr>
            </w:pPr>
          </w:p>
        </w:tc>
        <w:tc>
          <w:tcPr>
            <w:tcW w:w="820" w:type="pct"/>
          </w:tcPr>
          <w:p w14:paraId="680D6097" w14:textId="77777777" w:rsidR="007120FA" w:rsidRDefault="007120FA" w:rsidP="00AE6CF7">
            <w:pPr>
              <w:spacing w:line="252" w:lineRule="auto"/>
              <w:jc w:val="left"/>
              <w:rPr>
                <w:rFonts w:cs="Arial"/>
                <w:sz w:val="20"/>
                <w:szCs w:val="20"/>
              </w:rPr>
            </w:pPr>
            <w:r w:rsidRPr="00351892">
              <w:rPr>
                <w:rFonts w:cs="Arial"/>
                <w:sz w:val="20"/>
                <w:szCs w:val="20"/>
              </w:rPr>
              <w:t>Section V. 3.b. - Additional Staffing Requirements</w:t>
            </w:r>
          </w:p>
          <w:p w14:paraId="643F8088" w14:textId="77777777" w:rsidR="007120FA" w:rsidRDefault="007120FA" w:rsidP="00AE6CF7">
            <w:pPr>
              <w:spacing w:line="252" w:lineRule="auto"/>
              <w:jc w:val="left"/>
              <w:rPr>
                <w:rFonts w:cs="Arial"/>
                <w:sz w:val="20"/>
                <w:szCs w:val="20"/>
              </w:rPr>
            </w:pPr>
          </w:p>
          <w:p w14:paraId="7332CF06" w14:textId="77777777" w:rsidR="007120FA" w:rsidRPr="00FF5476" w:rsidRDefault="007120FA" w:rsidP="00AE6CF7">
            <w:pPr>
              <w:spacing w:line="252" w:lineRule="auto"/>
              <w:jc w:val="left"/>
              <w:rPr>
                <w:rFonts w:cs="Arial"/>
                <w:color w:val="000000" w:themeColor="text1"/>
                <w:sz w:val="20"/>
                <w:szCs w:val="20"/>
              </w:rPr>
            </w:pPr>
            <w:r w:rsidRPr="00FF5476">
              <w:rPr>
                <w:rStyle w:val="Glossary-Bold"/>
                <w:rFonts w:cs="Arial"/>
                <w:b w:val="0"/>
                <w:sz w:val="20"/>
                <w:szCs w:val="20"/>
              </w:rPr>
              <w:t>Q&amp;A</w:t>
            </w:r>
            <w:r>
              <w:rPr>
                <w:rStyle w:val="Glossary-Bold"/>
                <w:rFonts w:cs="Arial"/>
                <w:b w:val="0"/>
                <w:sz w:val="20"/>
                <w:szCs w:val="20"/>
              </w:rPr>
              <w:t xml:space="preserve"> 46</w:t>
            </w:r>
          </w:p>
        </w:tc>
        <w:tc>
          <w:tcPr>
            <w:tcW w:w="652" w:type="pct"/>
          </w:tcPr>
          <w:p w14:paraId="7F3D0F6A" w14:textId="77777777" w:rsidR="007120FA" w:rsidRDefault="007120FA" w:rsidP="00AE6CF7">
            <w:pPr>
              <w:jc w:val="left"/>
              <w:rPr>
                <w:rStyle w:val="Glossary-Bold"/>
                <w:rFonts w:cs="Arial"/>
                <w:b w:val="0"/>
                <w:sz w:val="20"/>
                <w:szCs w:val="20"/>
              </w:rPr>
            </w:pPr>
            <w:r>
              <w:rPr>
                <w:rStyle w:val="Glossary-Bold"/>
                <w:rFonts w:cs="Arial"/>
                <w:b w:val="0"/>
                <w:sz w:val="20"/>
                <w:szCs w:val="20"/>
              </w:rPr>
              <w:t>RFP 45</w:t>
            </w:r>
          </w:p>
          <w:p w14:paraId="6485479F" w14:textId="77777777" w:rsidR="007120FA" w:rsidRDefault="007120FA" w:rsidP="00AE6CF7">
            <w:pPr>
              <w:jc w:val="left"/>
              <w:rPr>
                <w:rStyle w:val="Glossary-Bold"/>
                <w:rFonts w:cs="Arial"/>
                <w:b w:val="0"/>
                <w:sz w:val="20"/>
                <w:szCs w:val="20"/>
              </w:rPr>
            </w:pPr>
          </w:p>
          <w:p w14:paraId="6819912D" w14:textId="77777777" w:rsidR="007120FA" w:rsidRDefault="007120FA" w:rsidP="00AE6CF7">
            <w:pPr>
              <w:jc w:val="left"/>
              <w:rPr>
                <w:rFonts w:cs="Arial"/>
                <w:color w:val="000000" w:themeColor="text1"/>
                <w:sz w:val="20"/>
                <w:szCs w:val="20"/>
              </w:rPr>
            </w:pPr>
          </w:p>
          <w:p w14:paraId="37E35333" w14:textId="77777777" w:rsidR="007120FA" w:rsidRDefault="007120FA" w:rsidP="00AE6CF7">
            <w:pPr>
              <w:jc w:val="left"/>
              <w:rPr>
                <w:rFonts w:cs="Arial"/>
                <w:color w:val="000000" w:themeColor="text1"/>
                <w:sz w:val="20"/>
                <w:szCs w:val="20"/>
              </w:rPr>
            </w:pPr>
          </w:p>
          <w:p w14:paraId="26FB9BED" w14:textId="77777777" w:rsidR="00AE6CF7" w:rsidRDefault="00AE6CF7" w:rsidP="00AE6CF7">
            <w:pPr>
              <w:jc w:val="left"/>
              <w:rPr>
                <w:rStyle w:val="Glossary-Bold"/>
                <w:rFonts w:cs="Arial"/>
                <w:b w:val="0"/>
                <w:sz w:val="20"/>
                <w:szCs w:val="20"/>
              </w:rPr>
            </w:pPr>
          </w:p>
          <w:p w14:paraId="1D99A91E" w14:textId="77777777" w:rsidR="007120FA" w:rsidRPr="00FF5476" w:rsidRDefault="007120FA" w:rsidP="00AE6CF7">
            <w:pPr>
              <w:jc w:val="left"/>
              <w:rPr>
                <w:rFonts w:cs="Arial"/>
                <w:color w:val="000000" w:themeColor="text1"/>
                <w:sz w:val="20"/>
                <w:szCs w:val="20"/>
              </w:rPr>
            </w:pPr>
            <w:r w:rsidRPr="00FF5476">
              <w:rPr>
                <w:rStyle w:val="Glossary-Bold"/>
                <w:rFonts w:cs="Arial"/>
                <w:b w:val="0"/>
                <w:sz w:val="20"/>
                <w:szCs w:val="20"/>
              </w:rPr>
              <w:t>Q&amp;A</w:t>
            </w:r>
            <w:r>
              <w:rPr>
                <w:rStyle w:val="Glossary-Bold"/>
                <w:rFonts w:cs="Arial"/>
                <w:b w:val="0"/>
                <w:sz w:val="20"/>
                <w:szCs w:val="20"/>
              </w:rPr>
              <w:t xml:space="preserve"> 18</w:t>
            </w:r>
          </w:p>
        </w:tc>
        <w:tc>
          <w:tcPr>
            <w:tcW w:w="1463" w:type="pct"/>
          </w:tcPr>
          <w:p w14:paraId="2AF9AB75" w14:textId="77777777" w:rsidR="007120FA" w:rsidRPr="00FF5476" w:rsidRDefault="007120FA" w:rsidP="00AE6CF7">
            <w:pPr>
              <w:jc w:val="left"/>
              <w:rPr>
                <w:rFonts w:cs="Arial"/>
                <w:color w:val="000000" w:themeColor="text1"/>
                <w:sz w:val="20"/>
                <w:szCs w:val="20"/>
              </w:rPr>
            </w:pPr>
            <w:r w:rsidRPr="00FF5476">
              <w:rPr>
                <w:rStyle w:val="Glossary-Bold"/>
                <w:rFonts w:cs="Arial"/>
                <w:b w:val="0"/>
                <w:sz w:val="20"/>
                <w:szCs w:val="20"/>
              </w:rPr>
              <w:t>The State’s response to question 46 in Addendum One Questions and Answers indicates that the Dental Management Coordinator role is a key staff position.  Can the State please differentiate the responsibilities from this key staff position and the required Dental Director key staff position, as they currently appear to have redundant responsibilities?</w:t>
            </w:r>
          </w:p>
        </w:tc>
        <w:tc>
          <w:tcPr>
            <w:tcW w:w="1552" w:type="pct"/>
          </w:tcPr>
          <w:p w14:paraId="47336CE3" w14:textId="77777777" w:rsidR="00CD4A26" w:rsidRPr="00CD4A26" w:rsidRDefault="00CD4A26" w:rsidP="005B6562">
            <w:pPr>
              <w:pStyle w:val="Level1Body"/>
              <w:jc w:val="left"/>
              <w:rPr>
                <w:rFonts w:cs="Arial"/>
                <w:sz w:val="20"/>
              </w:rPr>
            </w:pPr>
            <w:r w:rsidRPr="00CD4A26">
              <w:rPr>
                <w:rFonts w:cs="Arial"/>
                <w:sz w:val="20"/>
              </w:rPr>
              <w:t>The key staff duties of the Dental Director and Dental Management Coordinator are described in the RFP, in addition to other staffing requirement references in the contract which describe how other staff work with the Dental Director and under the Dental Director.</w:t>
            </w:r>
          </w:p>
          <w:p w14:paraId="1AE521F3" w14:textId="77777777" w:rsidR="00CD4A26" w:rsidRPr="00CD4A26" w:rsidRDefault="00CD4A26" w:rsidP="005B6562">
            <w:pPr>
              <w:pStyle w:val="Level1Body"/>
              <w:jc w:val="left"/>
              <w:rPr>
                <w:rFonts w:cs="Arial"/>
                <w:sz w:val="20"/>
              </w:rPr>
            </w:pPr>
          </w:p>
          <w:p w14:paraId="635426D1" w14:textId="77777777" w:rsidR="00CD4A26" w:rsidRPr="00CD4A26" w:rsidRDefault="00CD4A26" w:rsidP="005B6562">
            <w:pPr>
              <w:pStyle w:val="Level1Body"/>
              <w:jc w:val="left"/>
              <w:rPr>
                <w:rFonts w:cs="Arial"/>
                <w:sz w:val="20"/>
              </w:rPr>
            </w:pPr>
            <w:r w:rsidRPr="00CD4A26">
              <w:rPr>
                <w:rFonts w:cs="Arial"/>
                <w:sz w:val="20"/>
              </w:rPr>
              <w:t xml:space="preserve">In addition to the above, three main responsibilities of the Dental Director are below, which are not the </w:t>
            </w:r>
            <w:r w:rsidRPr="00CD4A26">
              <w:rPr>
                <w:rFonts w:cs="Arial"/>
                <w:sz w:val="20"/>
              </w:rPr>
              <w:lastRenderedPageBreak/>
              <w:t>responsibilities of the Dental Management Coordinator:</w:t>
            </w:r>
          </w:p>
          <w:p w14:paraId="2E61FAF7" w14:textId="77777777" w:rsidR="00CD4A26" w:rsidRPr="00CD4A26" w:rsidRDefault="00CD4A26" w:rsidP="005B6562">
            <w:pPr>
              <w:pStyle w:val="Level1Body"/>
              <w:jc w:val="left"/>
              <w:rPr>
                <w:rFonts w:cs="Arial"/>
                <w:sz w:val="20"/>
              </w:rPr>
            </w:pPr>
          </w:p>
          <w:p w14:paraId="7FE5A3CD" w14:textId="77777777" w:rsidR="00CD4A26" w:rsidRPr="00CD4A26" w:rsidRDefault="00CD4A26" w:rsidP="005B6562">
            <w:pPr>
              <w:pStyle w:val="Level1Body"/>
              <w:jc w:val="left"/>
              <w:rPr>
                <w:rFonts w:cs="Arial"/>
                <w:sz w:val="20"/>
              </w:rPr>
            </w:pPr>
            <w:r w:rsidRPr="00CD4A26">
              <w:rPr>
                <w:rFonts w:cs="Arial"/>
                <w:sz w:val="20"/>
              </w:rPr>
              <w:t>1.</w:t>
            </w:r>
            <w:r w:rsidRPr="00CD4A26">
              <w:rPr>
                <w:rFonts w:cs="Arial"/>
                <w:sz w:val="20"/>
              </w:rPr>
              <w:tab/>
              <w:t xml:space="preserve">The Dental Director must serve as either the chairman or co-chairman of the required Dental QAPI Committee. </w:t>
            </w:r>
          </w:p>
          <w:p w14:paraId="27C9FA04" w14:textId="77777777" w:rsidR="00CD4A26" w:rsidRPr="00CD4A26" w:rsidRDefault="00CD4A26" w:rsidP="005B6562">
            <w:pPr>
              <w:pStyle w:val="Level1Body"/>
              <w:jc w:val="left"/>
              <w:rPr>
                <w:rFonts w:cs="Arial"/>
                <w:sz w:val="20"/>
              </w:rPr>
            </w:pPr>
            <w:r w:rsidRPr="00CD4A26">
              <w:rPr>
                <w:rFonts w:cs="Arial"/>
                <w:sz w:val="20"/>
              </w:rPr>
              <w:t>2.</w:t>
            </w:r>
            <w:r w:rsidRPr="00CD4A26">
              <w:rPr>
                <w:rFonts w:cs="Arial"/>
                <w:sz w:val="20"/>
              </w:rPr>
              <w:tab/>
              <w:t xml:space="preserve">The Dental Director also directs the Dental UM Committee. </w:t>
            </w:r>
          </w:p>
          <w:p w14:paraId="0A893FC0" w14:textId="77777777" w:rsidR="007120FA" w:rsidRDefault="00CD4A26" w:rsidP="005B6562">
            <w:pPr>
              <w:pStyle w:val="Level1Body"/>
              <w:jc w:val="left"/>
              <w:rPr>
                <w:rFonts w:cs="Arial"/>
                <w:sz w:val="20"/>
              </w:rPr>
            </w:pPr>
            <w:r w:rsidRPr="00CD4A26">
              <w:rPr>
                <w:rFonts w:cs="Arial"/>
                <w:sz w:val="20"/>
              </w:rPr>
              <w:t>3.</w:t>
            </w:r>
            <w:r w:rsidRPr="00CD4A26">
              <w:rPr>
                <w:rFonts w:cs="Arial"/>
                <w:sz w:val="20"/>
              </w:rPr>
              <w:tab/>
              <w:t xml:space="preserve">The Dental Director is required to make any decision to deny a service authorization request or to authorize service in an amount, duration, or scope that is less than requested.  </w:t>
            </w:r>
          </w:p>
        </w:tc>
      </w:tr>
      <w:tr w:rsidR="0081334D" w:rsidRPr="00FF5476" w14:paraId="468C5485" w14:textId="77777777" w:rsidTr="00AE6CF7">
        <w:tc>
          <w:tcPr>
            <w:tcW w:w="512" w:type="pct"/>
          </w:tcPr>
          <w:p w14:paraId="3D5EB7DA" w14:textId="77777777" w:rsidR="007120FA" w:rsidRPr="00FF5476" w:rsidRDefault="007120FA" w:rsidP="007120FA">
            <w:pPr>
              <w:pStyle w:val="Level1Body"/>
              <w:numPr>
                <w:ilvl w:val="0"/>
                <w:numId w:val="42"/>
              </w:numPr>
              <w:rPr>
                <w:rFonts w:cs="Arial"/>
                <w:sz w:val="20"/>
              </w:rPr>
            </w:pPr>
          </w:p>
        </w:tc>
        <w:tc>
          <w:tcPr>
            <w:tcW w:w="820" w:type="pct"/>
          </w:tcPr>
          <w:p w14:paraId="75BFFF0F" w14:textId="77777777" w:rsidR="007120FA" w:rsidRDefault="007120FA" w:rsidP="00AE6CF7">
            <w:pPr>
              <w:spacing w:line="252" w:lineRule="auto"/>
              <w:jc w:val="left"/>
              <w:rPr>
                <w:rFonts w:cs="Arial"/>
                <w:color w:val="000000"/>
                <w:sz w:val="20"/>
                <w:szCs w:val="20"/>
              </w:rPr>
            </w:pPr>
            <w:r w:rsidRPr="00351892">
              <w:rPr>
                <w:rFonts w:cs="Arial"/>
                <w:sz w:val="20"/>
                <w:szCs w:val="20"/>
              </w:rPr>
              <w:t>Section V.P.2.e – MCO Reimbursement</w:t>
            </w:r>
          </w:p>
          <w:p w14:paraId="61A8CC9F" w14:textId="77777777" w:rsidR="007120FA" w:rsidRDefault="007120FA" w:rsidP="00AE6CF7">
            <w:pPr>
              <w:spacing w:line="252" w:lineRule="auto"/>
              <w:jc w:val="left"/>
              <w:rPr>
                <w:rFonts w:cs="Arial"/>
                <w:color w:val="000000"/>
                <w:sz w:val="20"/>
                <w:szCs w:val="20"/>
              </w:rPr>
            </w:pPr>
          </w:p>
          <w:p w14:paraId="23BED870" w14:textId="77777777" w:rsidR="007120FA" w:rsidRPr="00FF5476" w:rsidRDefault="007120FA" w:rsidP="00AE6CF7">
            <w:pPr>
              <w:spacing w:line="252" w:lineRule="auto"/>
              <w:jc w:val="left"/>
              <w:rPr>
                <w:rFonts w:cs="Arial"/>
                <w:sz w:val="20"/>
                <w:szCs w:val="20"/>
              </w:rPr>
            </w:pPr>
            <w:r w:rsidRPr="00FF5476">
              <w:rPr>
                <w:rFonts w:cs="Arial"/>
                <w:color w:val="000000"/>
                <w:sz w:val="20"/>
                <w:szCs w:val="20"/>
              </w:rPr>
              <w:t>Q&amp;A</w:t>
            </w:r>
            <w:r>
              <w:rPr>
                <w:rFonts w:cs="Arial"/>
                <w:color w:val="000000"/>
                <w:sz w:val="20"/>
                <w:szCs w:val="20"/>
              </w:rPr>
              <w:t xml:space="preserve"> 74</w:t>
            </w:r>
          </w:p>
        </w:tc>
        <w:tc>
          <w:tcPr>
            <w:tcW w:w="652" w:type="pct"/>
          </w:tcPr>
          <w:p w14:paraId="6B821102" w14:textId="77777777" w:rsidR="007120FA" w:rsidRDefault="007120FA" w:rsidP="00AE6CF7">
            <w:pPr>
              <w:jc w:val="left"/>
              <w:rPr>
                <w:rFonts w:cs="Arial"/>
                <w:color w:val="000000"/>
                <w:sz w:val="20"/>
                <w:szCs w:val="20"/>
              </w:rPr>
            </w:pPr>
            <w:r>
              <w:rPr>
                <w:rFonts w:cs="Arial"/>
                <w:color w:val="000000"/>
                <w:sz w:val="20"/>
                <w:szCs w:val="20"/>
              </w:rPr>
              <w:t>RFP 131</w:t>
            </w:r>
          </w:p>
          <w:p w14:paraId="77D36F23" w14:textId="77777777" w:rsidR="007120FA" w:rsidRDefault="007120FA" w:rsidP="00AE6CF7">
            <w:pPr>
              <w:jc w:val="left"/>
              <w:rPr>
                <w:rFonts w:cs="Arial"/>
                <w:color w:val="000000"/>
                <w:sz w:val="20"/>
                <w:szCs w:val="20"/>
              </w:rPr>
            </w:pPr>
          </w:p>
          <w:p w14:paraId="055B83D6" w14:textId="77777777" w:rsidR="007120FA" w:rsidRDefault="007120FA" w:rsidP="00AE6CF7">
            <w:pPr>
              <w:jc w:val="left"/>
              <w:rPr>
                <w:rFonts w:cs="Arial"/>
                <w:color w:val="000000"/>
                <w:sz w:val="20"/>
                <w:szCs w:val="20"/>
              </w:rPr>
            </w:pPr>
          </w:p>
          <w:p w14:paraId="22DD4E6F" w14:textId="77777777" w:rsidR="007120FA" w:rsidRDefault="007120FA" w:rsidP="00AE6CF7">
            <w:pPr>
              <w:jc w:val="left"/>
              <w:rPr>
                <w:rFonts w:cs="Arial"/>
                <w:color w:val="000000"/>
                <w:sz w:val="20"/>
                <w:szCs w:val="20"/>
              </w:rPr>
            </w:pPr>
          </w:p>
          <w:p w14:paraId="1F16B9D0" w14:textId="77777777" w:rsidR="007120FA" w:rsidRPr="00FF5476" w:rsidRDefault="007120FA" w:rsidP="00AE6CF7">
            <w:pPr>
              <w:jc w:val="left"/>
              <w:rPr>
                <w:rFonts w:cs="Arial"/>
                <w:sz w:val="20"/>
                <w:szCs w:val="20"/>
              </w:rPr>
            </w:pPr>
            <w:r w:rsidRPr="00FF5476">
              <w:rPr>
                <w:rFonts w:cs="Arial"/>
                <w:color w:val="000000"/>
                <w:sz w:val="20"/>
                <w:szCs w:val="20"/>
              </w:rPr>
              <w:t>Q&amp;A</w:t>
            </w:r>
            <w:r>
              <w:rPr>
                <w:rFonts w:cs="Arial"/>
                <w:color w:val="000000"/>
                <w:sz w:val="20"/>
                <w:szCs w:val="20"/>
              </w:rPr>
              <w:t xml:space="preserve"> 29</w:t>
            </w:r>
          </w:p>
        </w:tc>
        <w:tc>
          <w:tcPr>
            <w:tcW w:w="1463" w:type="pct"/>
          </w:tcPr>
          <w:p w14:paraId="45E330F6" w14:textId="77777777" w:rsidR="007120FA" w:rsidRPr="00FF5476" w:rsidRDefault="007120FA" w:rsidP="00AE6CF7">
            <w:pPr>
              <w:spacing w:before="100" w:beforeAutospacing="1" w:after="100" w:afterAutospacing="1"/>
              <w:jc w:val="left"/>
              <w:rPr>
                <w:rFonts w:cs="Arial"/>
                <w:sz w:val="20"/>
                <w:szCs w:val="20"/>
              </w:rPr>
            </w:pPr>
            <w:r w:rsidRPr="00FF5476">
              <w:rPr>
                <w:rFonts w:cs="Arial"/>
                <w:color w:val="000000"/>
                <w:sz w:val="20"/>
                <w:szCs w:val="20"/>
              </w:rPr>
              <w:t xml:space="preserve">Can the state provide bidders with claims data for the statewide Medicaid expansion population since inception on 10/1/2020?  This information would help MCOs make projections for this population. </w:t>
            </w:r>
          </w:p>
        </w:tc>
        <w:tc>
          <w:tcPr>
            <w:tcW w:w="1552" w:type="pct"/>
          </w:tcPr>
          <w:p w14:paraId="37DA2363" w14:textId="77777777" w:rsidR="007120FA" w:rsidRDefault="006E0749" w:rsidP="00E46FFD">
            <w:pPr>
              <w:pStyle w:val="Level1Body"/>
              <w:rPr>
                <w:rFonts w:cs="Arial"/>
                <w:sz w:val="20"/>
              </w:rPr>
            </w:pPr>
            <w:r>
              <w:rPr>
                <w:rFonts w:cs="Arial"/>
                <w:sz w:val="20"/>
              </w:rPr>
              <w:t xml:space="preserve">No, </w:t>
            </w:r>
            <w:r w:rsidR="00E46FFD">
              <w:rPr>
                <w:rFonts w:cs="Arial"/>
                <w:sz w:val="20"/>
              </w:rPr>
              <w:t>MLTC</w:t>
            </w:r>
            <w:r>
              <w:rPr>
                <w:rFonts w:cs="Arial"/>
                <w:sz w:val="20"/>
              </w:rPr>
              <w:t xml:space="preserve"> will not provide all statewide claims for the expanded Medicaid population. </w:t>
            </w:r>
          </w:p>
        </w:tc>
      </w:tr>
      <w:tr w:rsidR="0081334D" w:rsidRPr="00FF5476" w14:paraId="68690C02" w14:textId="77777777" w:rsidTr="004736C5">
        <w:tc>
          <w:tcPr>
            <w:tcW w:w="512" w:type="pct"/>
          </w:tcPr>
          <w:p w14:paraId="10935E11" w14:textId="77777777" w:rsidR="007120FA" w:rsidRPr="00FF5476" w:rsidRDefault="007120FA" w:rsidP="007120FA">
            <w:pPr>
              <w:pStyle w:val="Level1Body"/>
              <w:numPr>
                <w:ilvl w:val="0"/>
                <w:numId w:val="42"/>
              </w:numPr>
              <w:rPr>
                <w:rFonts w:cs="Arial"/>
                <w:sz w:val="20"/>
              </w:rPr>
            </w:pPr>
          </w:p>
        </w:tc>
        <w:tc>
          <w:tcPr>
            <w:tcW w:w="820" w:type="pct"/>
          </w:tcPr>
          <w:p w14:paraId="008C6D4C" w14:textId="77777777" w:rsidR="007120FA" w:rsidRDefault="007120FA" w:rsidP="00AE6CF7">
            <w:pPr>
              <w:spacing w:line="252" w:lineRule="auto"/>
              <w:jc w:val="left"/>
              <w:rPr>
                <w:rFonts w:cs="Arial"/>
                <w:sz w:val="20"/>
                <w:szCs w:val="20"/>
              </w:rPr>
            </w:pPr>
            <w:r>
              <w:rPr>
                <w:rFonts w:cs="Arial"/>
                <w:sz w:val="20"/>
                <w:szCs w:val="20"/>
              </w:rPr>
              <w:t>Proposal Response Instructions:</w:t>
            </w:r>
          </w:p>
          <w:p w14:paraId="2649BC27" w14:textId="77777777" w:rsidR="007120FA" w:rsidRDefault="007120FA" w:rsidP="00AE6CF7">
            <w:pPr>
              <w:spacing w:line="252" w:lineRule="auto"/>
              <w:jc w:val="left"/>
              <w:rPr>
                <w:rFonts w:cs="Arial"/>
                <w:sz w:val="20"/>
                <w:szCs w:val="20"/>
              </w:rPr>
            </w:pPr>
          </w:p>
          <w:p w14:paraId="75C3D8D7" w14:textId="77777777" w:rsidR="007120FA" w:rsidRDefault="007120FA" w:rsidP="00AE6CF7">
            <w:pPr>
              <w:spacing w:line="252" w:lineRule="auto"/>
              <w:jc w:val="left"/>
              <w:rPr>
                <w:rFonts w:cs="Arial"/>
                <w:sz w:val="20"/>
                <w:szCs w:val="20"/>
              </w:rPr>
            </w:pPr>
            <w:r>
              <w:rPr>
                <w:rFonts w:cs="Arial"/>
                <w:sz w:val="20"/>
                <w:szCs w:val="20"/>
              </w:rPr>
              <w:t>Section</w:t>
            </w:r>
            <w:r w:rsidRPr="00FF5476">
              <w:rPr>
                <w:rFonts w:cs="Arial"/>
                <w:sz w:val="20"/>
                <w:szCs w:val="20"/>
              </w:rPr>
              <w:t xml:space="preserve"> V.M Quality Management </w:t>
            </w:r>
            <w:r>
              <w:rPr>
                <w:rFonts w:cs="Arial"/>
                <w:sz w:val="20"/>
                <w:szCs w:val="20"/>
              </w:rPr>
              <w:t>–</w:t>
            </w:r>
            <w:r w:rsidRPr="00FF5476">
              <w:rPr>
                <w:rFonts w:cs="Arial"/>
                <w:sz w:val="20"/>
                <w:szCs w:val="20"/>
              </w:rPr>
              <w:t xml:space="preserve"> 64</w:t>
            </w:r>
          </w:p>
          <w:p w14:paraId="7562B00B" w14:textId="77777777" w:rsidR="007120FA" w:rsidRDefault="007120FA" w:rsidP="00AE6CF7">
            <w:pPr>
              <w:spacing w:line="252" w:lineRule="auto"/>
              <w:jc w:val="left"/>
              <w:rPr>
                <w:rFonts w:cs="Arial"/>
                <w:sz w:val="20"/>
                <w:szCs w:val="20"/>
              </w:rPr>
            </w:pPr>
          </w:p>
          <w:p w14:paraId="660888DC" w14:textId="77777777" w:rsidR="007120FA" w:rsidRPr="002D3387" w:rsidRDefault="007120FA" w:rsidP="00AE6CF7">
            <w:pPr>
              <w:jc w:val="left"/>
              <w:rPr>
                <w:rStyle w:val="Glossary-Bold"/>
                <w:rFonts w:cs="Arial"/>
                <w:b w:val="0"/>
                <w:sz w:val="20"/>
                <w:szCs w:val="20"/>
                <w:highlight w:val="yellow"/>
              </w:rPr>
            </w:pPr>
            <w:r w:rsidRPr="00FF5476">
              <w:rPr>
                <w:rFonts w:cs="Arial"/>
                <w:color w:val="000000"/>
                <w:sz w:val="20"/>
                <w:szCs w:val="20"/>
              </w:rPr>
              <w:t>Q&amp;A</w:t>
            </w:r>
            <w:r>
              <w:rPr>
                <w:rFonts w:cs="Arial"/>
                <w:color w:val="000000"/>
                <w:sz w:val="20"/>
                <w:szCs w:val="20"/>
              </w:rPr>
              <w:t xml:space="preserve"> 115</w:t>
            </w:r>
          </w:p>
        </w:tc>
        <w:tc>
          <w:tcPr>
            <w:tcW w:w="652" w:type="pct"/>
          </w:tcPr>
          <w:p w14:paraId="70774B4B" w14:textId="77777777" w:rsidR="007120FA" w:rsidRDefault="007120FA" w:rsidP="00AE6CF7">
            <w:pPr>
              <w:spacing w:line="252" w:lineRule="auto"/>
              <w:jc w:val="left"/>
              <w:rPr>
                <w:rFonts w:cs="Arial"/>
                <w:sz w:val="20"/>
                <w:szCs w:val="20"/>
              </w:rPr>
            </w:pPr>
            <w:r>
              <w:rPr>
                <w:rFonts w:cs="Arial"/>
                <w:sz w:val="20"/>
                <w:szCs w:val="20"/>
              </w:rPr>
              <w:t>Proposal Response Instructions:</w:t>
            </w:r>
          </w:p>
          <w:p w14:paraId="2B906140" w14:textId="77777777" w:rsidR="007120FA" w:rsidRDefault="007120FA" w:rsidP="00AE6CF7">
            <w:pPr>
              <w:jc w:val="left"/>
              <w:rPr>
                <w:rFonts w:cs="Arial"/>
                <w:sz w:val="20"/>
                <w:szCs w:val="20"/>
              </w:rPr>
            </w:pPr>
          </w:p>
          <w:p w14:paraId="5CEFA865" w14:textId="77777777" w:rsidR="007120FA" w:rsidRDefault="007120FA" w:rsidP="00AE6CF7">
            <w:pPr>
              <w:jc w:val="left"/>
              <w:rPr>
                <w:rFonts w:cs="Arial"/>
                <w:sz w:val="20"/>
                <w:szCs w:val="20"/>
              </w:rPr>
            </w:pPr>
            <w:r w:rsidRPr="00FF5476">
              <w:rPr>
                <w:rFonts w:cs="Arial"/>
                <w:sz w:val="20"/>
                <w:szCs w:val="20"/>
              </w:rPr>
              <w:t>11</w:t>
            </w:r>
          </w:p>
          <w:p w14:paraId="711C03DA" w14:textId="77777777" w:rsidR="007120FA" w:rsidRDefault="007120FA" w:rsidP="00AE6CF7">
            <w:pPr>
              <w:jc w:val="left"/>
              <w:rPr>
                <w:rFonts w:cs="Arial"/>
                <w:sz w:val="20"/>
                <w:szCs w:val="20"/>
              </w:rPr>
            </w:pPr>
          </w:p>
          <w:p w14:paraId="5ACCC83E" w14:textId="77777777" w:rsidR="007120FA" w:rsidRDefault="007120FA" w:rsidP="00AE6CF7">
            <w:pPr>
              <w:jc w:val="left"/>
              <w:rPr>
                <w:rFonts w:cs="Arial"/>
                <w:sz w:val="20"/>
                <w:szCs w:val="20"/>
              </w:rPr>
            </w:pPr>
          </w:p>
          <w:p w14:paraId="7D2ACAB6" w14:textId="77777777" w:rsidR="007120FA" w:rsidRDefault="007120FA" w:rsidP="00AE6CF7">
            <w:pPr>
              <w:jc w:val="left"/>
              <w:rPr>
                <w:rFonts w:cs="Arial"/>
                <w:sz w:val="20"/>
                <w:szCs w:val="20"/>
              </w:rPr>
            </w:pPr>
          </w:p>
          <w:p w14:paraId="6DAFA04D" w14:textId="77777777" w:rsidR="00AE6CF7" w:rsidRDefault="00AE6CF7" w:rsidP="00AE6CF7">
            <w:pPr>
              <w:jc w:val="left"/>
              <w:rPr>
                <w:rFonts w:cs="Arial"/>
                <w:color w:val="000000"/>
                <w:sz w:val="20"/>
                <w:szCs w:val="20"/>
              </w:rPr>
            </w:pPr>
          </w:p>
          <w:p w14:paraId="05A5914D" w14:textId="77777777" w:rsidR="007120FA" w:rsidRPr="002D3387" w:rsidRDefault="007120FA" w:rsidP="00AE6CF7">
            <w:pPr>
              <w:jc w:val="left"/>
              <w:rPr>
                <w:rStyle w:val="Glossary-Bold"/>
                <w:rFonts w:cs="Arial"/>
                <w:b w:val="0"/>
                <w:sz w:val="20"/>
                <w:szCs w:val="20"/>
                <w:highlight w:val="yellow"/>
              </w:rPr>
            </w:pPr>
            <w:r w:rsidRPr="00FF5476">
              <w:rPr>
                <w:rFonts w:cs="Arial"/>
                <w:color w:val="000000"/>
                <w:sz w:val="20"/>
                <w:szCs w:val="20"/>
              </w:rPr>
              <w:t>Q&amp;A</w:t>
            </w:r>
            <w:r>
              <w:rPr>
                <w:rFonts w:cs="Arial"/>
                <w:color w:val="000000"/>
                <w:sz w:val="20"/>
                <w:szCs w:val="20"/>
              </w:rPr>
              <w:t xml:space="preserve"> 25</w:t>
            </w:r>
          </w:p>
        </w:tc>
        <w:tc>
          <w:tcPr>
            <w:tcW w:w="1463" w:type="pct"/>
          </w:tcPr>
          <w:p w14:paraId="3BC3FD08" w14:textId="77777777" w:rsidR="003306ED" w:rsidRDefault="007120FA" w:rsidP="007E5EF3">
            <w:pPr>
              <w:autoSpaceDE w:val="0"/>
              <w:autoSpaceDN w:val="0"/>
              <w:adjustRightInd w:val="0"/>
              <w:jc w:val="left"/>
              <w:rPr>
                <w:rFonts w:cs="Arial"/>
                <w:sz w:val="20"/>
                <w:szCs w:val="20"/>
              </w:rPr>
            </w:pPr>
            <w:r w:rsidRPr="00FF5476">
              <w:rPr>
                <w:rFonts w:cs="Arial"/>
                <w:sz w:val="20"/>
                <w:szCs w:val="20"/>
              </w:rPr>
              <w:t xml:space="preserve">Regarding Question #115 asked in the initial Question and Answer release, please confirm for Question #64 that the Bidder is not required to provide the Quality Program Description and Evaluation as attachments. </w:t>
            </w:r>
          </w:p>
          <w:p w14:paraId="68CEEF60" w14:textId="77777777" w:rsidR="003306ED" w:rsidRDefault="003306ED" w:rsidP="007E5EF3">
            <w:pPr>
              <w:autoSpaceDE w:val="0"/>
              <w:autoSpaceDN w:val="0"/>
              <w:adjustRightInd w:val="0"/>
              <w:jc w:val="left"/>
              <w:rPr>
                <w:rFonts w:cs="Arial"/>
                <w:sz w:val="20"/>
                <w:szCs w:val="20"/>
              </w:rPr>
            </w:pPr>
          </w:p>
          <w:p w14:paraId="65C21D0D" w14:textId="77777777" w:rsidR="003306ED" w:rsidRDefault="003306ED" w:rsidP="007E5EF3">
            <w:pPr>
              <w:autoSpaceDE w:val="0"/>
              <w:autoSpaceDN w:val="0"/>
              <w:adjustRightInd w:val="0"/>
              <w:jc w:val="left"/>
              <w:rPr>
                <w:rFonts w:cs="Arial"/>
                <w:sz w:val="20"/>
                <w:szCs w:val="20"/>
              </w:rPr>
            </w:pPr>
          </w:p>
          <w:p w14:paraId="62E15A21" w14:textId="77777777" w:rsidR="007120FA" w:rsidRPr="00FF5476" w:rsidRDefault="007120FA" w:rsidP="007E5EF3">
            <w:pPr>
              <w:autoSpaceDE w:val="0"/>
              <w:autoSpaceDN w:val="0"/>
              <w:adjustRightInd w:val="0"/>
              <w:jc w:val="left"/>
              <w:rPr>
                <w:rFonts w:cs="Arial"/>
                <w:sz w:val="20"/>
                <w:szCs w:val="20"/>
              </w:rPr>
            </w:pPr>
            <w:r w:rsidRPr="00FF5476">
              <w:rPr>
                <w:rFonts w:cs="Arial"/>
                <w:sz w:val="20"/>
                <w:szCs w:val="20"/>
              </w:rPr>
              <w:t>Please also confirm that the required proposed QAPI work plan can be provided as an attachment and it will not count toward the 10-page limit.</w:t>
            </w:r>
          </w:p>
        </w:tc>
        <w:tc>
          <w:tcPr>
            <w:tcW w:w="1552" w:type="pct"/>
          </w:tcPr>
          <w:p w14:paraId="7A4B9F18" w14:textId="77777777" w:rsidR="003306ED" w:rsidRPr="004736C5" w:rsidRDefault="00EE451D" w:rsidP="004736C5">
            <w:pPr>
              <w:jc w:val="left"/>
              <w:rPr>
                <w:rFonts w:cs="Arial"/>
                <w:color w:val="000000"/>
                <w:sz w:val="20"/>
                <w:szCs w:val="20"/>
              </w:rPr>
            </w:pPr>
            <w:r>
              <w:rPr>
                <w:rFonts w:cs="Arial"/>
                <w:color w:val="000000"/>
                <w:sz w:val="20"/>
                <w:szCs w:val="20"/>
              </w:rPr>
              <w:t>Bidders are not</w:t>
            </w:r>
            <w:r w:rsidR="003306ED" w:rsidRPr="004736C5">
              <w:rPr>
                <w:rFonts w:cs="Arial"/>
                <w:color w:val="000000"/>
                <w:sz w:val="20"/>
                <w:szCs w:val="20"/>
              </w:rPr>
              <w:t xml:space="preserve"> required to provide the Quality Program Description and Evaluation as attachments.</w:t>
            </w:r>
          </w:p>
          <w:p w14:paraId="42234644" w14:textId="77777777" w:rsidR="003306ED" w:rsidRPr="004736C5" w:rsidRDefault="003306ED" w:rsidP="004736C5">
            <w:pPr>
              <w:jc w:val="left"/>
              <w:rPr>
                <w:rFonts w:cs="Arial"/>
                <w:color w:val="000000"/>
                <w:sz w:val="20"/>
                <w:szCs w:val="20"/>
              </w:rPr>
            </w:pPr>
          </w:p>
          <w:p w14:paraId="5E4B83EE" w14:textId="77777777" w:rsidR="003306ED" w:rsidRPr="004736C5" w:rsidRDefault="003306ED" w:rsidP="004736C5">
            <w:pPr>
              <w:jc w:val="left"/>
              <w:rPr>
                <w:rFonts w:cs="Arial"/>
                <w:color w:val="000000"/>
                <w:sz w:val="20"/>
                <w:szCs w:val="20"/>
              </w:rPr>
            </w:pPr>
          </w:p>
          <w:p w14:paraId="12112A83" w14:textId="77777777" w:rsidR="003306ED" w:rsidRPr="004736C5" w:rsidRDefault="003306ED" w:rsidP="004736C5">
            <w:pPr>
              <w:jc w:val="left"/>
              <w:rPr>
                <w:rFonts w:cs="Arial"/>
                <w:color w:val="000000"/>
                <w:sz w:val="20"/>
                <w:szCs w:val="20"/>
              </w:rPr>
            </w:pPr>
          </w:p>
          <w:p w14:paraId="3798B064" w14:textId="77777777" w:rsidR="003306ED" w:rsidRDefault="003306ED" w:rsidP="004736C5">
            <w:pPr>
              <w:jc w:val="left"/>
              <w:rPr>
                <w:rFonts w:cs="Arial"/>
                <w:color w:val="000000"/>
                <w:sz w:val="20"/>
                <w:szCs w:val="20"/>
              </w:rPr>
            </w:pPr>
          </w:p>
          <w:p w14:paraId="77B3CD22" w14:textId="77777777" w:rsidR="004736C5" w:rsidRDefault="004736C5" w:rsidP="004736C5">
            <w:pPr>
              <w:jc w:val="left"/>
              <w:rPr>
                <w:rFonts w:cs="Arial"/>
                <w:color w:val="000000"/>
                <w:sz w:val="20"/>
                <w:szCs w:val="20"/>
              </w:rPr>
            </w:pPr>
          </w:p>
          <w:p w14:paraId="47D18544" w14:textId="77777777" w:rsidR="004736C5" w:rsidRPr="004736C5" w:rsidRDefault="004736C5" w:rsidP="004736C5">
            <w:pPr>
              <w:jc w:val="left"/>
              <w:rPr>
                <w:rFonts w:cs="Arial"/>
                <w:color w:val="000000"/>
                <w:sz w:val="20"/>
                <w:szCs w:val="20"/>
              </w:rPr>
            </w:pPr>
          </w:p>
          <w:p w14:paraId="4BF25B8B" w14:textId="77777777" w:rsidR="003306ED" w:rsidRPr="004736C5" w:rsidRDefault="003306ED" w:rsidP="004736C5">
            <w:pPr>
              <w:jc w:val="left"/>
              <w:rPr>
                <w:rFonts w:cs="Arial"/>
                <w:color w:val="000000"/>
                <w:sz w:val="20"/>
                <w:szCs w:val="20"/>
              </w:rPr>
            </w:pPr>
          </w:p>
          <w:p w14:paraId="2BAEB52B" w14:textId="77777777" w:rsidR="007120FA" w:rsidRPr="004736C5" w:rsidRDefault="003306ED" w:rsidP="004736C5">
            <w:pPr>
              <w:pStyle w:val="Level1Body"/>
              <w:jc w:val="left"/>
              <w:rPr>
                <w:rFonts w:cs="Arial"/>
                <w:sz w:val="20"/>
              </w:rPr>
            </w:pPr>
            <w:r w:rsidRPr="004736C5">
              <w:rPr>
                <w:rFonts w:cs="Arial"/>
                <w:color w:val="auto"/>
                <w:sz w:val="20"/>
              </w:rPr>
              <w:t>The QAPI work plan can be provided as an attachment and will not count towards the 10-page limit.</w:t>
            </w:r>
          </w:p>
        </w:tc>
      </w:tr>
    </w:tbl>
    <w:p w14:paraId="20FE9D51" w14:textId="77777777" w:rsidR="00A44C9E" w:rsidRPr="00FF5476" w:rsidRDefault="00A44C9E" w:rsidP="002E4E3B">
      <w:pPr>
        <w:pStyle w:val="Level1Body"/>
        <w:rPr>
          <w:rFonts w:cs="Arial"/>
          <w:sz w:val="20"/>
        </w:rPr>
      </w:pPr>
    </w:p>
    <w:p w14:paraId="62E5F82D" w14:textId="77777777" w:rsidR="00FC03CF" w:rsidRPr="00FF5476" w:rsidRDefault="00FC03CF" w:rsidP="002E4E3B">
      <w:pPr>
        <w:pStyle w:val="Level1Body"/>
        <w:rPr>
          <w:rFonts w:cs="Arial"/>
          <w:sz w:val="20"/>
        </w:rPr>
      </w:pPr>
    </w:p>
    <w:p w14:paraId="2B6EC8B1" w14:textId="77777777" w:rsidR="00D478E0" w:rsidRPr="00FF5476" w:rsidRDefault="00FC03CF" w:rsidP="00E616D5">
      <w:pPr>
        <w:pStyle w:val="Level1Body"/>
        <w:rPr>
          <w:rFonts w:cs="Arial"/>
          <w:sz w:val="20"/>
        </w:rPr>
      </w:pPr>
      <w:r w:rsidRPr="00FF5476">
        <w:rPr>
          <w:rFonts w:cs="Arial"/>
          <w:sz w:val="20"/>
        </w:rPr>
        <w:t xml:space="preserve">This addendum will become part of the </w:t>
      </w:r>
      <w:r w:rsidR="009E2F65" w:rsidRPr="00FF5476">
        <w:rPr>
          <w:rFonts w:cs="Arial"/>
          <w:sz w:val="20"/>
        </w:rPr>
        <w:t>proposal</w:t>
      </w:r>
      <w:r w:rsidR="00703BE8" w:rsidRPr="00FF5476">
        <w:rPr>
          <w:rFonts w:cs="Arial"/>
          <w:color w:val="FF0000"/>
          <w:sz w:val="20"/>
        </w:rPr>
        <w:t xml:space="preserve"> </w:t>
      </w:r>
      <w:r w:rsidRPr="00FF5476">
        <w:rPr>
          <w:rFonts w:cs="Arial"/>
          <w:sz w:val="20"/>
        </w:rPr>
        <w:t xml:space="preserve">and </w:t>
      </w:r>
      <w:bookmarkStart w:id="2" w:name="a8"/>
      <w:r w:rsidRPr="00FF5476">
        <w:rPr>
          <w:rFonts w:cs="Arial"/>
          <w:sz w:val="20"/>
        </w:rPr>
        <w:t>should</w:t>
      </w:r>
      <w:bookmarkEnd w:id="2"/>
      <w:r w:rsidRPr="00FF5476">
        <w:rPr>
          <w:rFonts w:cs="Arial"/>
          <w:sz w:val="20"/>
        </w:rPr>
        <w:t xml:space="preserve"> be </w:t>
      </w:r>
      <w:bookmarkStart w:id="3" w:name="a9"/>
      <w:r w:rsidRPr="00FF5476">
        <w:rPr>
          <w:rFonts w:cs="Arial"/>
          <w:sz w:val="20"/>
        </w:rPr>
        <w:t>acknowledged</w:t>
      </w:r>
      <w:bookmarkEnd w:id="3"/>
      <w:r w:rsidRPr="00FF5476">
        <w:rPr>
          <w:rFonts w:cs="Arial"/>
          <w:sz w:val="20"/>
        </w:rPr>
        <w:t xml:space="preserve"> with the</w:t>
      </w:r>
      <w:r w:rsidR="00DA7CD3" w:rsidRPr="00FF5476">
        <w:rPr>
          <w:rFonts w:cs="Arial"/>
          <w:sz w:val="20"/>
        </w:rPr>
        <w:t xml:space="preserve"> </w:t>
      </w:r>
      <w:r w:rsidR="009E2F65" w:rsidRPr="00FF5476">
        <w:rPr>
          <w:rFonts w:cs="Arial"/>
          <w:sz w:val="20"/>
        </w:rPr>
        <w:t>Request for Proposal.</w:t>
      </w:r>
      <w:r w:rsidR="007124F4" w:rsidRPr="00FF5476">
        <w:rPr>
          <w:rFonts w:cs="Arial"/>
          <w:sz w:val="20"/>
          <w:lang w:val="en-CA"/>
        </w:rPr>
        <w:fldChar w:fldCharType="begin"/>
      </w:r>
      <w:r w:rsidR="007124F4" w:rsidRPr="00FF5476">
        <w:rPr>
          <w:rFonts w:cs="Arial"/>
          <w:sz w:val="20"/>
          <w:lang w:val="en-CA"/>
        </w:rPr>
        <w:instrText xml:space="preserve"> SEQ CHAPTER \h \r 1</w:instrText>
      </w:r>
      <w:r w:rsidR="007124F4" w:rsidRPr="00FF5476">
        <w:rPr>
          <w:rFonts w:cs="Arial"/>
          <w:sz w:val="20"/>
          <w:lang w:val="en-CA"/>
        </w:rPr>
        <w:fldChar w:fldCharType="end"/>
      </w:r>
    </w:p>
    <w:sectPr w:rsidR="00D478E0" w:rsidRPr="00FF5476" w:rsidSect="00FF5476">
      <w:footerReference w:type="default" r:id="rId13"/>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02CC8" w14:textId="77777777" w:rsidR="00696240" w:rsidRDefault="00696240">
      <w:r>
        <w:separator/>
      </w:r>
    </w:p>
  </w:endnote>
  <w:endnote w:type="continuationSeparator" w:id="0">
    <w:p w14:paraId="183656CC" w14:textId="77777777" w:rsidR="00696240" w:rsidRDefault="006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25EF" w14:textId="77777777" w:rsidR="006A5040" w:rsidRDefault="006A504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2543C">
      <w:rPr>
        <w:rStyle w:val="PageNumber"/>
        <w:b/>
        <w:noProof/>
        <w:sz w:val="20"/>
      </w:rPr>
      <w:t>1</w:t>
    </w:r>
    <w:r>
      <w:rPr>
        <w:rStyle w:val="PageNumbe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5B808" w14:textId="77777777" w:rsidR="006A5040" w:rsidRPr="007E7B33" w:rsidRDefault="005B1348" w:rsidP="007E7B33">
    <w:pPr>
      <w:pStyle w:val="Footer"/>
      <w:rPr>
        <w:rFonts w:cs="Arial"/>
        <w:sz w:val="20"/>
        <w:szCs w:val="20"/>
      </w:rPr>
    </w:pPr>
    <w:r w:rsidRPr="005B1348">
      <w:rPr>
        <w:rFonts w:cs="Arial"/>
        <w:sz w:val="16"/>
        <w:szCs w:val="16"/>
      </w:rPr>
      <w:t>STATE OF NEBRASKA</w:t>
    </w:r>
    <w:r>
      <w:rPr>
        <w:rFonts w:cs="Arial"/>
        <w:sz w:val="16"/>
        <w:szCs w:val="16"/>
      </w:rPr>
      <w:tab/>
      <w:t>ADDENDUM, QUESTIONS and ANSWERS</w:t>
    </w:r>
    <w:r>
      <w:rPr>
        <w:rFonts w:cs="Arial"/>
        <w:sz w:val="16"/>
        <w:szCs w:val="16"/>
      </w:rPr>
      <w:tab/>
    </w:r>
    <w:r w:rsidR="00E47C7F">
      <w:rPr>
        <w:rFonts w:cs="Arial"/>
        <w:sz w:val="16"/>
        <w:szCs w:val="16"/>
      </w:rPr>
      <w:t>09/23</w:t>
    </w:r>
    <w:r w:rsidR="00712CE8">
      <w:rPr>
        <w:rFonts w:cs="Arial"/>
        <w:sz w:val="16"/>
        <w:szCs w:val="16"/>
      </w:rPr>
      <w:t>/201</w:t>
    </w:r>
    <w:r w:rsidR="00E47C7F">
      <w:rPr>
        <w:rFonts w:cs="Arial"/>
        <w:sz w:val="16"/>
        <w:szCs w:val="16"/>
      </w:rPr>
      <w:t>5</w:t>
    </w:r>
  </w:p>
  <w:p w14:paraId="3501CE45" w14:textId="77777777" w:rsidR="006A5040" w:rsidRPr="00A35D07" w:rsidRDefault="006A5040">
    <w:pPr>
      <w:pStyle w:val="Foo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F12A5" w14:textId="77777777" w:rsidR="006A5040" w:rsidRPr="004B36C5" w:rsidRDefault="006A5040" w:rsidP="009C0EF1">
    <w:pPr>
      <w:pStyle w:val="Footer"/>
      <w:jc w:val="right"/>
      <w:rPr>
        <w:sz w:val="16"/>
        <w:szCs w:val="16"/>
      </w:rPr>
    </w:pPr>
    <w:r w:rsidRPr="004B36C5">
      <w:rPr>
        <w:sz w:val="16"/>
        <w:szCs w:val="16"/>
      </w:rPr>
      <w:t>Revised 07/31/08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91BA0" w14:textId="77777777" w:rsidR="00696240" w:rsidRDefault="00696240">
      <w:r>
        <w:separator/>
      </w:r>
    </w:p>
  </w:footnote>
  <w:footnote w:type="continuationSeparator" w:id="0">
    <w:p w14:paraId="32E04ED9" w14:textId="77777777" w:rsidR="00696240" w:rsidRDefault="0069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82E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5E4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644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F023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308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EEF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69D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381D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8A7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1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8A24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7"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956A27"/>
    <w:multiLevelType w:val="multilevel"/>
    <w:tmpl w:val="E3D0440C"/>
    <w:numStyleLink w:val="SchedofEvents-Numbered"/>
  </w:abstractNum>
  <w:abstractNum w:abstractNumId="23" w15:restartNumberingAfterBreak="0">
    <w:nsid w:val="3710171C"/>
    <w:multiLevelType w:val="multilevel"/>
    <w:tmpl w:val="E0B2BAC6"/>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5" w15:restartNumberingAfterBreak="0">
    <w:nsid w:val="438A4C19"/>
    <w:multiLevelType w:val="hybridMultilevel"/>
    <w:tmpl w:val="47169E0E"/>
    <w:lvl w:ilvl="0" w:tplc="708895B8">
      <w:start w:val="1"/>
      <w:numFmt w:val="decimal"/>
      <w:lvlText w:val="%1."/>
      <w:lvlJc w:val="left"/>
      <w:pPr>
        <w:tabs>
          <w:tab w:val="num" w:pos="360"/>
        </w:tabs>
        <w:ind w:left="360" w:hanging="360"/>
      </w:pPr>
      <w:rPr>
        <w:rFonts w:hint="default"/>
      </w:rPr>
    </w:lvl>
    <w:lvl w:ilvl="1" w:tplc="5A143618" w:tentative="1">
      <w:start w:val="1"/>
      <w:numFmt w:val="lowerLetter"/>
      <w:lvlText w:val="%2."/>
      <w:lvlJc w:val="left"/>
      <w:pPr>
        <w:tabs>
          <w:tab w:val="num" w:pos="1440"/>
        </w:tabs>
        <w:ind w:left="1440" w:hanging="360"/>
      </w:pPr>
    </w:lvl>
    <w:lvl w:ilvl="2" w:tplc="9D3A5372" w:tentative="1">
      <w:start w:val="1"/>
      <w:numFmt w:val="lowerRoman"/>
      <w:lvlText w:val="%3."/>
      <w:lvlJc w:val="right"/>
      <w:pPr>
        <w:tabs>
          <w:tab w:val="num" w:pos="2160"/>
        </w:tabs>
        <w:ind w:left="2160" w:hanging="180"/>
      </w:pPr>
    </w:lvl>
    <w:lvl w:ilvl="3" w:tplc="B4B05BFC" w:tentative="1">
      <w:start w:val="1"/>
      <w:numFmt w:val="decimal"/>
      <w:lvlText w:val="%4."/>
      <w:lvlJc w:val="left"/>
      <w:pPr>
        <w:tabs>
          <w:tab w:val="num" w:pos="2880"/>
        </w:tabs>
        <w:ind w:left="2880" w:hanging="360"/>
      </w:pPr>
    </w:lvl>
    <w:lvl w:ilvl="4" w:tplc="40962478" w:tentative="1">
      <w:start w:val="1"/>
      <w:numFmt w:val="lowerLetter"/>
      <w:lvlText w:val="%5."/>
      <w:lvlJc w:val="left"/>
      <w:pPr>
        <w:tabs>
          <w:tab w:val="num" w:pos="3600"/>
        </w:tabs>
        <w:ind w:left="3600" w:hanging="360"/>
      </w:pPr>
    </w:lvl>
    <w:lvl w:ilvl="5" w:tplc="7160EABC" w:tentative="1">
      <w:start w:val="1"/>
      <w:numFmt w:val="lowerRoman"/>
      <w:lvlText w:val="%6."/>
      <w:lvlJc w:val="right"/>
      <w:pPr>
        <w:tabs>
          <w:tab w:val="num" w:pos="4320"/>
        </w:tabs>
        <w:ind w:left="4320" w:hanging="180"/>
      </w:pPr>
    </w:lvl>
    <w:lvl w:ilvl="6" w:tplc="B3205410" w:tentative="1">
      <w:start w:val="1"/>
      <w:numFmt w:val="decimal"/>
      <w:lvlText w:val="%7."/>
      <w:lvlJc w:val="left"/>
      <w:pPr>
        <w:tabs>
          <w:tab w:val="num" w:pos="5040"/>
        </w:tabs>
        <w:ind w:left="5040" w:hanging="360"/>
      </w:pPr>
    </w:lvl>
    <w:lvl w:ilvl="7" w:tplc="5E54273E" w:tentative="1">
      <w:start w:val="1"/>
      <w:numFmt w:val="lowerLetter"/>
      <w:lvlText w:val="%8."/>
      <w:lvlJc w:val="left"/>
      <w:pPr>
        <w:tabs>
          <w:tab w:val="num" w:pos="5760"/>
        </w:tabs>
        <w:ind w:left="5760" w:hanging="360"/>
      </w:pPr>
    </w:lvl>
    <w:lvl w:ilvl="8" w:tplc="C4BC1C26" w:tentative="1">
      <w:start w:val="1"/>
      <w:numFmt w:val="lowerRoman"/>
      <w:lvlText w:val="%9."/>
      <w:lvlJc w:val="right"/>
      <w:pPr>
        <w:tabs>
          <w:tab w:val="num" w:pos="6480"/>
        </w:tabs>
        <w:ind w:left="6480" w:hanging="180"/>
      </w:pPr>
    </w:lvl>
  </w:abstractNum>
  <w:abstractNum w:abstractNumId="26" w15:restartNumberingAfterBreak="0">
    <w:nsid w:val="44A541F7"/>
    <w:multiLevelType w:val="hybridMultilevel"/>
    <w:tmpl w:val="BB683352"/>
    <w:lvl w:ilvl="0" w:tplc="191495A6">
      <w:start w:val="1"/>
      <w:numFmt w:val="decimal"/>
      <w:lvlText w:val="%1."/>
      <w:lvlJc w:val="left"/>
      <w:pPr>
        <w:tabs>
          <w:tab w:val="num" w:pos="720"/>
        </w:tabs>
        <w:ind w:left="720" w:hanging="360"/>
      </w:pPr>
    </w:lvl>
    <w:lvl w:ilvl="1" w:tplc="AF0ABA54" w:tentative="1">
      <w:start w:val="1"/>
      <w:numFmt w:val="lowerLetter"/>
      <w:lvlText w:val="%2."/>
      <w:lvlJc w:val="left"/>
      <w:pPr>
        <w:tabs>
          <w:tab w:val="num" w:pos="1440"/>
        </w:tabs>
        <w:ind w:left="1440" w:hanging="360"/>
      </w:pPr>
    </w:lvl>
    <w:lvl w:ilvl="2" w:tplc="99642C9A" w:tentative="1">
      <w:start w:val="1"/>
      <w:numFmt w:val="lowerRoman"/>
      <w:lvlText w:val="%3."/>
      <w:lvlJc w:val="right"/>
      <w:pPr>
        <w:tabs>
          <w:tab w:val="num" w:pos="2160"/>
        </w:tabs>
        <w:ind w:left="2160" w:hanging="180"/>
      </w:pPr>
    </w:lvl>
    <w:lvl w:ilvl="3" w:tplc="5CFE0EFE" w:tentative="1">
      <w:start w:val="1"/>
      <w:numFmt w:val="decimal"/>
      <w:lvlText w:val="%4."/>
      <w:lvlJc w:val="left"/>
      <w:pPr>
        <w:tabs>
          <w:tab w:val="num" w:pos="2880"/>
        </w:tabs>
        <w:ind w:left="2880" w:hanging="360"/>
      </w:pPr>
    </w:lvl>
    <w:lvl w:ilvl="4" w:tplc="8EB429B2" w:tentative="1">
      <w:start w:val="1"/>
      <w:numFmt w:val="lowerLetter"/>
      <w:lvlText w:val="%5."/>
      <w:lvlJc w:val="left"/>
      <w:pPr>
        <w:tabs>
          <w:tab w:val="num" w:pos="3600"/>
        </w:tabs>
        <w:ind w:left="3600" w:hanging="360"/>
      </w:pPr>
    </w:lvl>
    <w:lvl w:ilvl="5" w:tplc="F77846BE" w:tentative="1">
      <w:start w:val="1"/>
      <w:numFmt w:val="lowerRoman"/>
      <w:lvlText w:val="%6."/>
      <w:lvlJc w:val="right"/>
      <w:pPr>
        <w:tabs>
          <w:tab w:val="num" w:pos="4320"/>
        </w:tabs>
        <w:ind w:left="4320" w:hanging="180"/>
      </w:pPr>
    </w:lvl>
    <w:lvl w:ilvl="6" w:tplc="46269882" w:tentative="1">
      <w:start w:val="1"/>
      <w:numFmt w:val="decimal"/>
      <w:lvlText w:val="%7."/>
      <w:lvlJc w:val="left"/>
      <w:pPr>
        <w:tabs>
          <w:tab w:val="num" w:pos="5040"/>
        </w:tabs>
        <w:ind w:left="5040" w:hanging="360"/>
      </w:pPr>
    </w:lvl>
    <w:lvl w:ilvl="7" w:tplc="55BC9E9E" w:tentative="1">
      <w:start w:val="1"/>
      <w:numFmt w:val="lowerLetter"/>
      <w:lvlText w:val="%8."/>
      <w:lvlJc w:val="left"/>
      <w:pPr>
        <w:tabs>
          <w:tab w:val="num" w:pos="5760"/>
        </w:tabs>
        <w:ind w:left="5760" w:hanging="360"/>
      </w:pPr>
    </w:lvl>
    <w:lvl w:ilvl="8" w:tplc="8E863DE6" w:tentative="1">
      <w:start w:val="1"/>
      <w:numFmt w:val="lowerRoman"/>
      <w:lvlText w:val="%9."/>
      <w:lvlJc w:val="right"/>
      <w:pPr>
        <w:tabs>
          <w:tab w:val="num" w:pos="6480"/>
        </w:tabs>
        <w:ind w:left="6480" w:hanging="180"/>
      </w:pPr>
    </w:lvl>
  </w:abstractNum>
  <w:abstractNum w:abstractNumId="27"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9" w15:restartNumberingAfterBreak="0">
    <w:nsid w:val="5BC42A96"/>
    <w:multiLevelType w:val="hybridMultilevel"/>
    <w:tmpl w:val="59FCB356"/>
    <w:lvl w:ilvl="0" w:tplc="4A840EAC">
      <w:start w:val="1"/>
      <w:numFmt w:val="bullet"/>
      <w:lvlText w:val=""/>
      <w:lvlJc w:val="left"/>
      <w:pPr>
        <w:tabs>
          <w:tab w:val="num" w:pos="432"/>
        </w:tabs>
        <w:ind w:left="432" w:hanging="432"/>
      </w:pPr>
      <w:rPr>
        <w:rFonts w:ascii="Symbol" w:hAnsi="Symbol" w:hint="default"/>
      </w:rPr>
    </w:lvl>
    <w:lvl w:ilvl="1" w:tplc="55A61180" w:tentative="1">
      <w:start w:val="1"/>
      <w:numFmt w:val="lowerLetter"/>
      <w:lvlText w:val="%2."/>
      <w:lvlJc w:val="left"/>
      <w:pPr>
        <w:tabs>
          <w:tab w:val="num" w:pos="1440"/>
        </w:tabs>
        <w:ind w:left="1440" w:hanging="360"/>
      </w:pPr>
    </w:lvl>
    <w:lvl w:ilvl="2" w:tplc="DB04B5C6" w:tentative="1">
      <w:start w:val="1"/>
      <w:numFmt w:val="lowerRoman"/>
      <w:lvlText w:val="%3."/>
      <w:lvlJc w:val="right"/>
      <w:pPr>
        <w:tabs>
          <w:tab w:val="num" w:pos="2160"/>
        </w:tabs>
        <w:ind w:left="2160" w:hanging="180"/>
      </w:pPr>
    </w:lvl>
    <w:lvl w:ilvl="3" w:tplc="F73EAB66" w:tentative="1">
      <w:start w:val="1"/>
      <w:numFmt w:val="decimal"/>
      <w:lvlText w:val="%4."/>
      <w:lvlJc w:val="left"/>
      <w:pPr>
        <w:tabs>
          <w:tab w:val="num" w:pos="2880"/>
        </w:tabs>
        <w:ind w:left="2880" w:hanging="360"/>
      </w:pPr>
    </w:lvl>
    <w:lvl w:ilvl="4" w:tplc="DEF86364" w:tentative="1">
      <w:start w:val="1"/>
      <w:numFmt w:val="lowerLetter"/>
      <w:lvlText w:val="%5."/>
      <w:lvlJc w:val="left"/>
      <w:pPr>
        <w:tabs>
          <w:tab w:val="num" w:pos="3600"/>
        </w:tabs>
        <w:ind w:left="3600" w:hanging="360"/>
      </w:pPr>
    </w:lvl>
    <w:lvl w:ilvl="5" w:tplc="5C00D800" w:tentative="1">
      <w:start w:val="1"/>
      <w:numFmt w:val="lowerRoman"/>
      <w:lvlText w:val="%6."/>
      <w:lvlJc w:val="right"/>
      <w:pPr>
        <w:tabs>
          <w:tab w:val="num" w:pos="4320"/>
        </w:tabs>
        <w:ind w:left="4320" w:hanging="180"/>
      </w:pPr>
    </w:lvl>
    <w:lvl w:ilvl="6" w:tplc="23AE22EC" w:tentative="1">
      <w:start w:val="1"/>
      <w:numFmt w:val="decimal"/>
      <w:lvlText w:val="%7."/>
      <w:lvlJc w:val="left"/>
      <w:pPr>
        <w:tabs>
          <w:tab w:val="num" w:pos="5040"/>
        </w:tabs>
        <w:ind w:left="5040" w:hanging="360"/>
      </w:pPr>
    </w:lvl>
    <w:lvl w:ilvl="7" w:tplc="2F6EFCE8" w:tentative="1">
      <w:start w:val="1"/>
      <w:numFmt w:val="lowerLetter"/>
      <w:lvlText w:val="%8."/>
      <w:lvlJc w:val="left"/>
      <w:pPr>
        <w:tabs>
          <w:tab w:val="num" w:pos="5760"/>
        </w:tabs>
        <w:ind w:left="5760" w:hanging="360"/>
      </w:pPr>
    </w:lvl>
    <w:lvl w:ilvl="8" w:tplc="E82ED5C0" w:tentative="1">
      <w:start w:val="1"/>
      <w:numFmt w:val="lowerRoman"/>
      <w:lvlText w:val="%9."/>
      <w:lvlJc w:val="right"/>
      <w:pPr>
        <w:tabs>
          <w:tab w:val="num" w:pos="6480"/>
        </w:tabs>
        <w:ind w:left="6480" w:hanging="180"/>
      </w:pPr>
    </w:lvl>
  </w:abstractNum>
  <w:abstractNum w:abstractNumId="30"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F150581"/>
    <w:multiLevelType w:val="hybridMultilevel"/>
    <w:tmpl w:val="BACCB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4368C"/>
    <w:multiLevelType w:val="multilevel"/>
    <w:tmpl w:val="E3D0440C"/>
    <w:numStyleLink w:val="SchedofEvents-Numbered"/>
  </w:abstractNum>
  <w:abstractNum w:abstractNumId="33"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3"/>
  </w:num>
  <w:num w:numId="2">
    <w:abstractNumId w:val="24"/>
  </w:num>
  <w:num w:numId="3">
    <w:abstractNumId w:val="28"/>
  </w:num>
  <w:num w:numId="4">
    <w:abstractNumId w:val="11"/>
  </w:num>
  <w:num w:numId="5">
    <w:abstractNumId w:val="30"/>
  </w:num>
  <w:num w:numId="6">
    <w:abstractNumId w:val="34"/>
  </w:num>
  <w:num w:numId="7">
    <w:abstractNumId w:val="16"/>
  </w:num>
  <w:num w:numId="8">
    <w:abstractNumId w:val="12"/>
  </w:num>
  <w:num w:numId="9">
    <w:abstractNumId w:val="29"/>
  </w:num>
  <w:num w:numId="10">
    <w:abstractNumId w:val="20"/>
  </w:num>
  <w:num w:numId="11">
    <w:abstractNumId w:val="17"/>
  </w:num>
  <w:num w:numId="12">
    <w:abstractNumId w:val="21"/>
  </w:num>
  <w:num w:numId="13">
    <w:abstractNumId w:val="26"/>
  </w:num>
  <w:num w:numId="14">
    <w:abstractNumId w:val="33"/>
  </w:num>
  <w:num w:numId="15">
    <w:abstractNumId w:val="10"/>
  </w:num>
  <w:num w:numId="16">
    <w:abstractNumId w:val="27"/>
  </w:num>
  <w:num w:numId="17">
    <w:abstractNumId w:val="25"/>
  </w:num>
  <w:num w:numId="18">
    <w:abstractNumId w:val="14"/>
  </w:num>
  <w:num w:numId="19">
    <w:abstractNumId w:val="15"/>
  </w:num>
  <w:num w:numId="20">
    <w:abstractNumId w:val="32"/>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9"/>
  </w:num>
  <w:num w:numId="40">
    <w:abstractNumId w:val="15"/>
  </w:num>
  <w:num w:numId="41">
    <w:abstractNumId w:val="2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CF"/>
    <w:rsid w:val="000133FE"/>
    <w:rsid w:val="00053790"/>
    <w:rsid w:val="00054415"/>
    <w:rsid w:val="000A0B7C"/>
    <w:rsid w:val="000A7F6D"/>
    <w:rsid w:val="000C4C56"/>
    <w:rsid w:val="000D0B51"/>
    <w:rsid w:val="000D0C72"/>
    <w:rsid w:val="00150E62"/>
    <w:rsid w:val="00156FB7"/>
    <w:rsid w:val="00165A8C"/>
    <w:rsid w:val="00172DB1"/>
    <w:rsid w:val="00184504"/>
    <w:rsid w:val="001B014A"/>
    <w:rsid w:val="001B7621"/>
    <w:rsid w:val="001C651D"/>
    <w:rsid w:val="001E284C"/>
    <w:rsid w:val="00207E99"/>
    <w:rsid w:val="00241153"/>
    <w:rsid w:val="00244B40"/>
    <w:rsid w:val="00252B3D"/>
    <w:rsid w:val="0025668F"/>
    <w:rsid w:val="00256886"/>
    <w:rsid w:val="0027091D"/>
    <w:rsid w:val="0027121E"/>
    <w:rsid w:val="00293406"/>
    <w:rsid w:val="002A2BA5"/>
    <w:rsid w:val="002D3387"/>
    <w:rsid w:val="002E0890"/>
    <w:rsid w:val="002E4E3B"/>
    <w:rsid w:val="002F5695"/>
    <w:rsid w:val="003306ED"/>
    <w:rsid w:val="003339B3"/>
    <w:rsid w:val="00374BE2"/>
    <w:rsid w:val="003A637C"/>
    <w:rsid w:val="003C0E74"/>
    <w:rsid w:val="003E78B5"/>
    <w:rsid w:val="003F21C7"/>
    <w:rsid w:val="003F65D8"/>
    <w:rsid w:val="004110C5"/>
    <w:rsid w:val="00433F6F"/>
    <w:rsid w:val="00443D56"/>
    <w:rsid w:val="00446D8B"/>
    <w:rsid w:val="00454B08"/>
    <w:rsid w:val="004736C5"/>
    <w:rsid w:val="004773F5"/>
    <w:rsid w:val="0049673F"/>
    <w:rsid w:val="004F4925"/>
    <w:rsid w:val="004F6BBB"/>
    <w:rsid w:val="005145B4"/>
    <w:rsid w:val="005205BD"/>
    <w:rsid w:val="00544A8F"/>
    <w:rsid w:val="00547BB3"/>
    <w:rsid w:val="0058191C"/>
    <w:rsid w:val="005B1348"/>
    <w:rsid w:val="005B6562"/>
    <w:rsid w:val="005D1FF3"/>
    <w:rsid w:val="00602C28"/>
    <w:rsid w:val="00603A1B"/>
    <w:rsid w:val="00696240"/>
    <w:rsid w:val="006A5040"/>
    <w:rsid w:val="006D6DD0"/>
    <w:rsid w:val="006E0749"/>
    <w:rsid w:val="00701F86"/>
    <w:rsid w:val="00703BE8"/>
    <w:rsid w:val="007120FA"/>
    <w:rsid w:val="007124F4"/>
    <w:rsid w:val="00712CE8"/>
    <w:rsid w:val="007237A1"/>
    <w:rsid w:val="00731D0A"/>
    <w:rsid w:val="00736F52"/>
    <w:rsid w:val="00744C0B"/>
    <w:rsid w:val="00754004"/>
    <w:rsid w:val="00773BDE"/>
    <w:rsid w:val="007C187D"/>
    <w:rsid w:val="007E5EF3"/>
    <w:rsid w:val="007E7B33"/>
    <w:rsid w:val="0081334D"/>
    <w:rsid w:val="0081627F"/>
    <w:rsid w:val="00847DA1"/>
    <w:rsid w:val="0086338A"/>
    <w:rsid w:val="00867A2B"/>
    <w:rsid w:val="00882107"/>
    <w:rsid w:val="008A04EF"/>
    <w:rsid w:val="00911FEA"/>
    <w:rsid w:val="00983D92"/>
    <w:rsid w:val="009C0EF1"/>
    <w:rsid w:val="009E2F65"/>
    <w:rsid w:val="009E30CC"/>
    <w:rsid w:val="009F49D3"/>
    <w:rsid w:val="00A26B73"/>
    <w:rsid w:val="00A35D07"/>
    <w:rsid w:val="00A44C9E"/>
    <w:rsid w:val="00A463E8"/>
    <w:rsid w:val="00A50158"/>
    <w:rsid w:val="00A8383E"/>
    <w:rsid w:val="00A94B43"/>
    <w:rsid w:val="00AB1852"/>
    <w:rsid w:val="00AE6CF7"/>
    <w:rsid w:val="00B061E4"/>
    <w:rsid w:val="00B22523"/>
    <w:rsid w:val="00B4087F"/>
    <w:rsid w:val="00B7325B"/>
    <w:rsid w:val="00BB47C8"/>
    <w:rsid w:val="00BD5697"/>
    <w:rsid w:val="00C247EF"/>
    <w:rsid w:val="00C2543C"/>
    <w:rsid w:val="00C26189"/>
    <w:rsid w:val="00C2659A"/>
    <w:rsid w:val="00CB1BC7"/>
    <w:rsid w:val="00CD4A26"/>
    <w:rsid w:val="00D007C2"/>
    <w:rsid w:val="00D129CE"/>
    <w:rsid w:val="00D478E0"/>
    <w:rsid w:val="00D47E6B"/>
    <w:rsid w:val="00D6279A"/>
    <w:rsid w:val="00D77958"/>
    <w:rsid w:val="00D802BD"/>
    <w:rsid w:val="00DA7CD3"/>
    <w:rsid w:val="00DB23F7"/>
    <w:rsid w:val="00DB5BE7"/>
    <w:rsid w:val="00DB68B3"/>
    <w:rsid w:val="00DD2DBC"/>
    <w:rsid w:val="00DD41C2"/>
    <w:rsid w:val="00DF1A39"/>
    <w:rsid w:val="00E46FFD"/>
    <w:rsid w:val="00E4723E"/>
    <w:rsid w:val="00E47C7F"/>
    <w:rsid w:val="00E51B65"/>
    <w:rsid w:val="00E56E20"/>
    <w:rsid w:val="00E616D5"/>
    <w:rsid w:val="00E80044"/>
    <w:rsid w:val="00EA7E53"/>
    <w:rsid w:val="00EC52C4"/>
    <w:rsid w:val="00EE3A98"/>
    <w:rsid w:val="00EE451D"/>
    <w:rsid w:val="00F26B9E"/>
    <w:rsid w:val="00F629CC"/>
    <w:rsid w:val="00F71FF5"/>
    <w:rsid w:val="00F91450"/>
    <w:rsid w:val="00FA3BF6"/>
    <w:rsid w:val="00FC03CF"/>
    <w:rsid w:val="00FE0CB5"/>
    <w:rsid w:val="00FF5476"/>
    <w:rsid w:val="00FF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A406F"/>
  <w15:docId w15:val="{84329366-E3C6-492F-A2AB-057A3481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882107"/>
    <w:pPr>
      <w:jc w:val="both"/>
    </w:pPr>
    <w:rPr>
      <w:sz w:val="22"/>
      <w:szCs w:val="22"/>
    </w:rPr>
  </w:style>
  <w:style w:type="paragraph" w:styleId="Heading1">
    <w:name w:val="heading 1"/>
    <w:aliases w:val="forms/glossary"/>
    <w:basedOn w:val="Normal"/>
    <w:next w:val="Normal"/>
    <w:qFormat/>
    <w:rsid w:val="002E0890"/>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2E0890"/>
    <w:pPr>
      <w:keepNext/>
      <w:outlineLvl w:val="1"/>
    </w:pPr>
    <w:rPr>
      <w:rFonts w:cs="Arial"/>
      <w:b/>
      <w:bCs/>
      <w:iCs/>
      <w:color w:val="000000"/>
      <w:sz w:val="36"/>
      <w:szCs w:val="36"/>
    </w:rPr>
  </w:style>
  <w:style w:type="paragraph" w:styleId="Heading3">
    <w:name w:val="heading 3"/>
    <w:basedOn w:val="Normal"/>
    <w:next w:val="BodyText"/>
    <w:qFormat/>
    <w:pPr>
      <w:keepNext/>
      <w:keepLines/>
      <w:overflowPunct w:val="0"/>
      <w:spacing w:after="240" w:line="240" w:lineRule="atLeast"/>
      <w:textAlignment w:val="baseline"/>
      <w:outlineLvl w:val="2"/>
    </w:pPr>
    <w:rPr>
      <w:b/>
      <w:spacing w:val="-10"/>
      <w:kern w:val="28"/>
      <w:szCs w:val="20"/>
    </w:rPr>
  </w:style>
  <w:style w:type="paragraph" w:styleId="Heading4">
    <w:name w:val="heading 4"/>
    <w:aliases w:val="toc"/>
    <w:basedOn w:val="Normal"/>
    <w:next w:val="Normal"/>
    <w:link w:val="Heading4Char"/>
    <w:qFormat/>
    <w:rsid w:val="002E0890"/>
    <w:pPr>
      <w:keepNext/>
      <w:jc w:val="center"/>
      <w:outlineLvl w:val="3"/>
    </w:pPr>
    <w:rPr>
      <w:b/>
      <w:bCs/>
      <w:sz w:val="24"/>
      <w:szCs w:val="28"/>
    </w:rPr>
  </w:style>
  <w:style w:type="paragraph" w:styleId="Heading5">
    <w:name w:val="heading 5"/>
    <w:basedOn w:val="Normal"/>
    <w:next w:val="BodyText"/>
    <w:qFormat/>
    <w:pPr>
      <w:keepNext/>
      <w:keepLines/>
      <w:overflowPunct w:val="0"/>
      <w:spacing w:line="240" w:lineRule="atLeast"/>
      <w:textAlignment w:val="baseline"/>
      <w:outlineLvl w:val="4"/>
    </w:pPr>
    <w:rPr>
      <w:b/>
      <w:i/>
      <w:smallCaps/>
      <w:spacing w:val="-4"/>
      <w:kern w:val="28"/>
      <w:szCs w:val="20"/>
    </w:rPr>
  </w:style>
  <w:style w:type="paragraph" w:styleId="Heading6">
    <w:name w:val="heading 6"/>
    <w:basedOn w:val="Normal"/>
    <w:next w:val="BodyText"/>
    <w:qFormat/>
    <w:pPr>
      <w:keepNext/>
      <w:keepLines/>
      <w:overflowPunct w:val="0"/>
      <w:spacing w:before="140" w:line="220" w:lineRule="atLeast"/>
      <w:textAlignment w:val="baseline"/>
      <w:outlineLvl w:val="5"/>
    </w:pPr>
    <w:rPr>
      <w:i/>
      <w:spacing w:val="-4"/>
      <w:kern w:val="28"/>
      <w:sz w:val="20"/>
      <w:szCs w:val="20"/>
    </w:rPr>
  </w:style>
  <w:style w:type="paragraph" w:styleId="Heading7">
    <w:name w:val="heading 7"/>
    <w:basedOn w:val="Normal"/>
    <w:next w:val="BodyText"/>
    <w:qFormat/>
    <w:pPr>
      <w:keepNext/>
      <w:keepLines/>
      <w:overflowPunct w:val="0"/>
      <w:spacing w:before="140" w:line="220" w:lineRule="atLeast"/>
      <w:textAlignment w:val="baseline"/>
      <w:outlineLvl w:val="6"/>
    </w:pPr>
    <w:rPr>
      <w:spacing w:val="-4"/>
      <w:kern w:val="28"/>
      <w:sz w:val="20"/>
      <w:szCs w:val="20"/>
    </w:rPr>
  </w:style>
  <w:style w:type="paragraph" w:styleId="Heading8">
    <w:name w:val="heading 8"/>
    <w:basedOn w:val="Normal"/>
    <w:next w:val="BodyText"/>
    <w:qFormat/>
    <w:pPr>
      <w:keepNext/>
      <w:keepLines/>
      <w:overflowPunct w:val="0"/>
      <w:spacing w:before="140" w:line="220" w:lineRule="atLeast"/>
      <w:textAlignment w:val="baseline"/>
      <w:outlineLvl w:val="7"/>
    </w:pPr>
    <w:rPr>
      <w:i/>
      <w:spacing w:val="-4"/>
      <w:kern w:val="28"/>
      <w:sz w:val="18"/>
      <w:szCs w:val="20"/>
    </w:rPr>
  </w:style>
  <w:style w:type="paragraph" w:styleId="Heading9">
    <w:name w:val="heading 9"/>
    <w:basedOn w:val="Normal"/>
    <w:next w:val="BodyText"/>
    <w:qFormat/>
    <w:pPr>
      <w:keepNext/>
      <w:keepLines/>
      <w:overflowPunct w:val="0"/>
      <w:spacing w:before="140" w:line="220" w:lineRule="atLeast"/>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2E0890"/>
    <w:pPr>
      <w:numPr>
        <w:numId w:val="38"/>
      </w:numP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tyle>
  <w:style w:type="table" w:styleId="TableGrid">
    <w:name w:val="Table Grid"/>
    <w:basedOn w:val="TableNormal"/>
    <w:rsid w:val="007E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2E0890"/>
    <w:pPr>
      <w:ind w:left="0"/>
    </w:pPr>
    <w:rPr>
      <w:szCs w:val="20"/>
    </w:rPr>
  </w:style>
  <w:style w:type="character" w:customStyle="1" w:styleId="Level1BodyChar">
    <w:name w:val="Level 1 Body Char"/>
    <w:basedOn w:val="DefaultParagraphFont"/>
    <w:link w:val="Level1Body"/>
    <w:rsid w:val="002E4E3B"/>
    <w:rPr>
      <w:rFonts w:ascii="Arial" w:hAnsi="Arial"/>
      <w:color w:val="000000"/>
      <w:sz w:val="22"/>
    </w:rPr>
  </w:style>
  <w:style w:type="paragraph" w:customStyle="1" w:styleId="Level3Body">
    <w:name w:val="Level 3 Body"/>
    <w:basedOn w:val="Normal"/>
    <w:link w:val="Level3BodyCharChar"/>
    <w:rsid w:val="002E089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tyleLevel1ArialBoldStrikethroughCenteredLeft0Fir">
    <w:name w:val="Style Level 1 + Arial Bold Strikethrough Centered Left:  0&quot; Fir..."/>
    <w:basedOn w:val="Level1"/>
    <w:rsid w:val="00773BDE"/>
    <w:pPr>
      <w:jc w:val="center"/>
    </w:pPr>
    <w:rPr>
      <w:strike/>
      <w:szCs w:val="20"/>
    </w:rPr>
  </w:style>
  <w:style w:type="paragraph" w:customStyle="1" w:styleId="Level3">
    <w:name w:val="Level 3"/>
    <w:link w:val="Level3Char"/>
    <w:rsid w:val="002E0890"/>
    <w:pPr>
      <w:numPr>
        <w:ilvl w:val="2"/>
        <w:numId w:val="38"/>
      </w:numPr>
      <w:autoSpaceDE w:val="0"/>
      <w:autoSpaceDN w:val="0"/>
      <w:adjustRightInd w:val="0"/>
    </w:pPr>
    <w:rPr>
      <w:color w:val="000000"/>
      <w:sz w:val="22"/>
      <w:szCs w:val="24"/>
    </w:rPr>
  </w:style>
  <w:style w:type="character" w:customStyle="1" w:styleId="Level3Char">
    <w:name w:val="Level 3 Char"/>
    <w:basedOn w:val="DefaultParagraphFont"/>
    <w:link w:val="Level3"/>
    <w:rsid w:val="00547BB3"/>
    <w:rPr>
      <w:color w:val="000000"/>
      <w:sz w:val="22"/>
      <w:szCs w:val="24"/>
      <w:lang w:val="en-US" w:eastAsia="en-US" w:bidi="ar-SA"/>
    </w:rPr>
  </w:style>
  <w:style w:type="paragraph" w:customStyle="1" w:styleId="Level4">
    <w:name w:val="Level 4"/>
    <w:link w:val="Level4Char"/>
    <w:rsid w:val="002E0890"/>
    <w:pPr>
      <w:numPr>
        <w:ilvl w:val="3"/>
        <w:numId w:val="38"/>
      </w:numPr>
      <w:autoSpaceDE w:val="0"/>
      <w:autoSpaceDN w:val="0"/>
      <w:adjustRightInd w:val="0"/>
    </w:pPr>
    <w:rPr>
      <w:sz w:val="22"/>
      <w:szCs w:val="24"/>
    </w:rPr>
  </w:style>
  <w:style w:type="character" w:customStyle="1" w:styleId="Level4Char">
    <w:name w:val="Level 4 Char"/>
    <w:basedOn w:val="DefaultParagraphFont"/>
    <w:link w:val="Level4"/>
    <w:rsid w:val="00547BB3"/>
    <w:rPr>
      <w:sz w:val="22"/>
      <w:szCs w:val="24"/>
      <w:lang w:val="en-US" w:eastAsia="en-US" w:bidi="ar-SA"/>
    </w:rPr>
  </w:style>
  <w:style w:type="paragraph" w:customStyle="1" w:styleId="Level5">
    <w:name w:val="Level 5"/>
    <w:basedOn w:val="Level4"/>
    <w:rsid w:val="002E0890"/>
    <w:pPr>
      <w:numPr>
        <w:ilvl w:val="4"/>
      </w:numPr>
      <w:outlineLvl w:val="4"/>
    </w:pPr>
  </w:style>
  <w:style w:type="paragraph" w:customStyle="1" w:styleId="Level6">
    <w:name w:val="Level 6"/>
    <w:basedOn w:val="Normal"/>
    <w:rsid w:val="002E0890"/>
    <w:pPr>
      <w:numPr>
        <w:ilvl w:val="5"/>
        <w:numId w:val="38"/>
      </w:numPr>
    </w:pPr>
  </w:style>
  <w:style w:type="character" w:customStyle="1" w:styleId="Glossary-Bold">
    <w:name w:val="Glossary - Bold"/>
    <w:basedOn w:val="DefaultParagraphFont"/>
    <w:rsid w:val="002E0890"/>
    <w:rPr>
      <w:rFonts w:ascii="Arial" w:hAnsi="Arial"/>
      <w:b/>
      <w:bCs/>
    </w:rPr>
  </w:style>
  <w:style w:type="paragraph" w:customStyle="1" w:styleId="Level2">
    <w:name w:val="Level 2"/>
    <w:link w:val="Level2Char"/>
    <w:rsid w:val="002E0890"/>
    <w:pPr>
      <w:keepNext/>
      <w:keepLines/>
      <w:numPr>
        <w:ilvl w:val="1"/>
        <w:numId w:val="3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b/>
      <w:bCs/>
      <w:color w:val="000000"/>
      <w:sz w:val="22"/>
      <w:szCs w:val="22"/>
    </w:rPr>
  </w:style>
  <w:style w:type="character" w:customStyle="1" w:styleId="Level2Char">
    <w:name w:val="Level 2 Char"/>
    <w:basedOn w:val="DefaultParagraphFont"/>
    <w:link w:val="Level2"/>
    <w:rsid w:val="00547BB3"/>
    <w:rPr>
      <w:b/>
      <w:bCs/>
      <w:color w:val="000000"/>
      <w:sz w:val="22"/>
      <w:szCs w:val="22"/>
      <w:lang w:val="en-US" w:eastAsia="en-US" w:bidi="ar-SA"/>
    </w:rPr>
  </w:style>
  <w:style w:type="paragraph" w:customStyle="1" w:styleId="Level7">
    <w:name w:val="Level 7"/>
    <w:basedOn w:val="Normal"/>
    <w:rsid w:val="002E0890"/>
    <w:pPr>
      <w:numPr>
        <w:ilvl w:val="6"/>
        <w:numId w:val="38"/>
      </w:numPr>
    </w:pPr>
  </w:style>
  <w:style w:type="paragraph" w:customStyle="1" w:styleId="Level2Body">
    <w:name w:val="Level 2 Body"/>
    <w:basedOn w:val="Normal"/>
    <w:rsid w:val="002E0890"/>
    <w:pPr>
      <w:ind w:left="720"/>
    </w:pPr>
    <w:rPr>
      <w:color w:val="000000"/>
      <w:szCs w:val="24"/>
    </w:rPr>
  </w:style>
  <w:style w:type="paragraph" w:customStyle="1" w:styleId="SchedofEventsbody-Left">
    <w:name w:val="Sched of Events body- Left"/>
    <w:basedOn w:val="Normal"/>
    <w:rsid w:val="002E0890"/>
    <w:pPr>
      <w:jc w:val="left"/>
    </w:pPr>
    <w:rPr>
      <w:szCs w:val="20"/>
    </w:rPr>
  </w:style>
  <w:style w:type="numbering" w:customStyle="1" w:styleId="SchedofEvents-Numbered">
    <w:name w:val="Sched of Events - Numbered"/>
    <w:basedOn w:val="NoList"/>
    <w:rsid w:val="002E0890"/>
    <w:pPr>
      <w:numPr>
        <w:numId w:val="19"/>
      </w:numPr>
    </w:pPr>
  </w:style>
  <w:style w:type="character" w:customStyle="1" w:styleId="HeaderChar">
    <w:name w:val="Header Char"/>
    <w:basedOn w:val="DefaultParagraphFont"/>
    <w:link w:val="Header"/>
    <w:uiPriority w:val="99"/>
    <w:rsid w:val="00374BE2"/>
    <w:rPr>
      <w:rFonts w:ascii="Arial" w:hAnsi="Arial"/>
      <w:sz w:val="22"/>
      <w:szCs w:val="24"/>
    </w:rPr>
  </w:style>
  <w:style w:type="character" w:customStyle="1" w:styleId="FooterChar">
    <w:name w:val="Footer Char"/>
    <w:basedOn w:val="DefaultParagraphFont"/>
    <w:link w:val="Footer"/>
    <w:uiPriority w:val="99"/>
    <w:rsid w:val="00374BE2"/>
    <w:rPr>
      <w:rFonts w:ascii="Arial" w:hAnsi="Arial"/>
      <w:sz w:val="22"/>
      <w:szCs w:val="24"/>
    </w:rPr>
  </w:style>
  <w:style w:type="paragraph" w:customStyle="1" w:styleId="14bldcentr">
    <w:name w:val="14 bld centr"/>
    <w:aliases w:val="rfp frm"/>
    <w:basedOn w:val="Normal"/>
    <w:rsid w:val="002E0890"/>
    <w:pPr>
      <w:jc w:val="center"/>
    </w:pPr>
    <w:rPr>
      <w:b/>
      <w:bCs/>
      <w:sz w:val="28"/>
      <w:szCs w:val="20"/>
    </w:rPr>
  </w:style>
  <w:style w:type="character" w:customStyle="1" w:styleId="BodyTextChar">
    <w:name w:val="Body Text Char"/>
    <w:basedOn w:val="DefaultParagraphFont"/>
    <w:link w:val="BodyText"/>
    <w:rsid w:val="002E0890"/>
    <w:rPr>
      <w:rFonts w:ascii="Arial" w:hAnsi="Arial"/>
      <w:sz w:val="22"/>
      <w:szCs w:val="24"/>
    </w:rPr>
  </w:style>
  <w:style w:type="character" w:customStyle="1" w:styleId="14ptBoldLeft-StateofNE">
    <w:name w:val="14 pt Bold Left - State of NE"/>
    <w:basedOn w:val="DefaultParagraphFont"/>
    <w:rsid w:val="002E0890"/>
    <w:rPr>
      <w:rFonts w:ascii="Arial" w:hAnsi="Arial"/>
      <w:b/>
      <w:bCs/>
      <w:sz w:val="28"/>
    </w:rPr>
  </w:style>
  <w:style w:type="paragraph" w:customStyle="1" w:styleId="14pt">
    <w:name w:val="14 pt"/>
    <w:aliases w:val="scope of serv"/>
    <w:basedOn w:val="Normal"/>
    <w:rsid w:val="002E0890"/>
    <w:pPr>
      <w:jc w:val="center"/>
    </w:pPr>
    <w:rPr>
      <w:b/>
      <w:bCs/>
      <w:color w:val="FFFFFF"/>
      <w:sz w:val="28"/>
      <w:szCs w:val="20"/>
    </w:rPr>
  </w:style>
  <w:style w:type="character" w:customStyle="1" w:styleId="9pt">
    <w:name w:val="9 pt"/>
    <w:aliases w:val="rfp form"/>
    <w:basedOn w:val="DefaultParagraphFont"/>
    <w:rsid w:val="002E0890"/>
    <w:rPr>
      <w:rFonts w:ascii="Arial" w:hAnsi="Arial"/>
      <w:sz w:val="18"/>
    </w:rPr>
  </w:style>
  <w:style w:type="paragraph" w:customStyle="1" w:styleId="forms">
    <w:name w:val="forms"/>
    <w:aliases w:val="sched of events Bold Centered"/>
    <w:basedOn w:val="Normal"/>
    <w:rsid w:val="002E0890"/>
    <w:pPr>
      <w:jc w:val="center"/>
    </w:pPr>
    <w:rPr>
      <w:b/>
      <w:bCs/>
      <w:color w:val="000000"/>
      <w:szCs w:val="20"/>
    </w:rPr>
  </w:style>
  <w:style w:type="paragraph" w:customStyle="1" w:styleId="Glossary">
    <w:name w:val="Glossary"/>
    <w:basedOn w:val="Normal"/>
    <w:rsid w:val="002E0890"/>
    <w:pPr>
      <w:widowControl w:val="0"/>
      <w:autoSpaceDE w:val="0"/>
      <w:autoSpaceDN w:val="0"/>
      <w:adjustRightInd w:val="0"/>
      <w:jc w:val="left"/>
    </w:pPr>
    <w:rPr>
      <w:szCs w:val="24"/>
    </w:rPr>
  </w:style>
  <w:style w:type="character" w:customStyle="1" w:styleId="Level1BodyforRFPForm">
    <w:name w:val="Level 1 Body for RFP Form"/>
    <w:basedOn w:val="DefaultParagraphFont"/>
    <w:rsid w:val="002E0890"/>
    <w:rPr>
      <w:rFonts w:ascii="Arial" w:hAnsi="Arial"/>
      <w:sz w:val="20"/>
    </w:rPr>
  </w:style>
  <w:style w:type="paragraph" w:customStyle="1" w:styleId="Level3Bold">
    <w:name w:val="Level 3 Bold"/>
    <w:basedOn w:val="Level3"/>
    <w:rsid w:val="002E0890"/>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2E0890"/>
    <w:pPr>
      <w:ind w:left="2160"/>
    </w:pPr>
    <w:rPr>
      <w:szCs w:val="20"/>
    </w:rPr>
  </w:style>
  <w:style w:type="paragraph" w:customStyle="1" w:styleId="rfpformnumbers">
    <w:name w:val="rfp form numbers"/>
    <w:rsid w:val="002E0890"/>
    <w:pPr>
      <w:numPr>
        <w:numId w:val="39"/>
      </w:numPr>
    </w:pPr>
    <w:rPr>
      <w:sz w:val="22"/>
      <w:szCs w:val="22"/>
    </w:rPr>
  </w:style>
  <w:style w:type="paragraph" w:customStyle="1" w:styleId="StyleBoldCentered">
    <w:name w:val="Style Bold Centered"/>
    <w:basedOn w:val="Normal"/>
    <w:rsid w:val="002E0890"/>
    <w:pPr>
      <w:jc w:val="center"/>
    </w:pPr>
    <w:rPr>
      <w:b/>
      <w:bCs/>
      <w:color w:val="000000"/>
      <w:szCs w:val="20"/>
    </w:rPr>
  </w:style>
  <w:style w:type="character" w:customStyle="1" w:styleId="Heading4Char">
    <w:name w:val="Heading 4 Char"/>
    <w:aliases w:val="toc Char"/>
    <w:basedOn w:val="DefaultParagraphFont"/>
    <w:link w:val="Heading4"/>
    <w:rsid w:val="00FF5476"/>
    <w:rPr>
      <w:b/>
      <w:bCs/>
      <w:sz w:val="24"/>
      <w:szCs w:val="28"/>
    </w:rPr>
  </w:style>
  <w:style w:type="character" w:styleId="CommentReference">
    <w:name w:val="annotation reference"/>
    <w:basedOn w:val="DefaultParagraphFont"/>
    <w:uiPriority w:val="99"/>
    <w:semiHidden/>
    <w:unhideWhenUsed/>
    <w:rsid w:val="00B7325B"/>
    <w:rPr>
      <w:sz w:val="16"/>
      <w:szCs w:val="16"/>
    </w:rPr>
  </w:style>
  <w:style w:type="paragraph" w:styleId="CommentText">
    <w:name w:val="annotation text"/>
    <w:basedOn w:val="Normal"/>
    <w:link w:val="CommentTextChar"/>
    <w:uiPriority w:val="99"/>
    <w:semiHidden/>
    <w:unhideWhenUsed/>
    <w:rsid w:val="00B7325B"/>
    <w:rPr>
      <w:sz w:val="20"/>
      <w:szCs w:val="20"/>
    </w:rPr>
  </w:style>
  <w:style w:type="character" w:customStyle="1" w:styleId="CommentTextChar">
    <w:name w:val="Comment Text Char"/>
    <w:basedOn w:val="DefaultParagraphFont"/>
    <w:link w:val="CommentText"/>
    <w:uiPriority w:val="99"/>
    <w:semiHidden/>
    <w:rsid w:val="00B7325B"/>
  </w:style>
  <w:style w:type="paragraph" w:styleId="CommentSubject">
    <w:name w:val="annotation subject"/>
    <w:basedOn w:val="CommentText"/>
    <w:next w:val="CommentText"/>
    <w:link w:val="CommentSubjectChar"/>
    <w:semiHidden/>
    <w:unhideWhenUsed/>
    <w:rsid w:val="00B7325B"/>
    <w:rPr>
      <w:b/>
      <w:bCs/>
    </w:rPr>
  </w:style>
  <w:style w:type="character" w:customStyle="1" w:styleId="CommentSubjectChar">
    <w:name w:val="Comment Subject Char"/>
    <w:basedOn w:val="CommentTextChar"/>
    <w:link w:val="CommentSubject"/>
    <w:semiHidden/>
    <w:rsid w:val="00B7325B"/>
    <w:rPr>
      <w:b/>
      <w:bCs/>
    </w:rPr>
  </w:style>
  <w:style w:type="character" w:customStyle="1" w:styleId="normaltextrun">
    <w:name w:val="normaltextrun"/>
    <w:basedOn w:val="DefaultParagraphFont"/>
    <w:rsid w:val="007120FA"/>
  </w:style>
  <w:style w:type="paragraph" w:styleId="Revision">
    <w:name w:val="Revision"/>
    <w:hidden/>
    <w:uiPriority w:val="99"/>
    <w:semiHidden/>
    <w:rsid w:val="00454B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78976">
      <w:bodyDiv w:val="1"/>
      <w:marLeft w:val="0"/>
      <w:marRight w:val="0"/>
      <w:marTop w:val="0"/>
      <w:marBottom w:val="0"/>
      <w:divBdr>
        <w:top w:val="none" w:sz="0" w:space="0" w:color="auto"/>
        <w:left w:val="none" w:sz="0" w:space="0" w:color="auto"/>
        <w:bottom w:val="none" w:sz="0" w:space="0" w:color="auto"/>
        <w:right w:val="none" w:sz="0" w:space="0" w:color="auto"/>
      </w:divBdr>
    </w:div>
    <w:div w:id="18458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55BC9-7230-4467-A427-EBC97812DBAF}"/>
</file>

<file path=customXml/itemProps2.xml><?xml version="1.0" encoding="utf-8"?>
<ds:datastoreItem xmlns:ds="http://schemas.openxmlformats.org/officeDocument/2006/customXml" ds:itemID="{FC4DE983-17CB-411D-9B32-74B4F4D3985F}"/>
</file>

<file path=customXml/itemProps3.xml><?xml version="1.0" encoding="utf-8"?>
<ds:datastoreItem xmlns:ds="http://schemas.openxmlformats.org/officeDocument/2006/customXml" ds:itemID="{1C2A8FFF-B567-4D9B-B9A2-989B9FCC5448}"/>
</file>

<file path=customXml/itemProps4.xml><?xml version="1.0" encoding="utf-8"?>
<ds:datastoreItem xmlns:ds="http://schemas.openxmlformats.org/officeDocument/2006/customXml" ds:itemID="{B6D8ECC5-5728-4A06-B7BA-EC9BD332F3A6}"/>
</file>

<file path=docProps/app.xml><?xml version="1.0" encoding="utf-8"?>
<Properties xmlns="http://schemas.openxmlformats.org/officeDocument/2006/extended-properties" xmlns:vt="http://schemas.openxmlformats.org/officeDocument/2006/docPropsVTypes">
  <Template>Normal</Template>
  <TotalTime>0</TotalTime>
  <Pages>8</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dc:description/>
  <cp:lastModifiedBy>Jerica Rood</cp:lastModifiedBy>
  <cp:revision>2</cp:revision>
  <cp:lastPrinted>2011-03-18T16:09:00Z</cp:lastPrinted>
  <dcterms:created xsi:type="dcterms:W3CDTF">2022-06-06T16:17:00Z</dcterms:created>
  <dcterms:modified xsi:type="dcterms:W3CDTF">2022-06-06T16:17:00Z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48100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