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2F029D" w14:textId="77777777" w:rsidR="006E4CBA" w:rsidRDefault="006E4CBA" w:rsidP="00134682">
      <w:pPr>
        <w:spacing w:before="76" w:line="322" w:lineRule="exact"/>
        <w:ind w:left="1085" w:right="1084"/>
        <w:jc w:val="center"/>
        <w:rPr>
          <w:b/>
          <w:sz w:val="28"/>
        </w:rPr>
      </w:pPr>
      <w:r>
        <w:rPr>
          <w:b/>
          <w:sz w:val="28"/>
        </w:rPr>
        <w:t>112209 O3</w:t>
      </w:r>
    </w:p>
    <w:p w14:paraId="4A125EF6" w14:textId="4E689BD4" w:rsidR="00134682" w:rsidRDefault="00134682" w:rsidP="00134682">
      <w:pPr>
        <w:spacing w:before="76" w:line="322" w:lineRule="exact"/>
        <w:ind w:left="1085" w:right="1084"/>
        <w:jc w:val="center"/>
        <w:rPr>
          <w:b/>
          <w:sz w:val="28"/>
        </w:rPr>
      </w:pPr>
      <w:bookmarkStart w:id="0" w:name="_GoBack"/>
      <w:bookmarkEnd w:id="0"/>
      <w:r>
        <w:rPr>
          <w:b/>
          <w:sz w:val="28"/>
        </w:rPr>
        <w:t>Attachment</w:t>
      </w:r>
      <w:r>
        <w:rPr>
          <w:b/>
          <w:spacing w:val="-3"/>
          <w:sz w:val="28"/>
        </w:rPr>
        <w:t xml:space="preserve"> </w:t>
      </w:r>
      <w:r w:rsidR="00FB49DE">
        <w:rPr>
          <w:b/>
          <w:sz w:val="28"/>
        </w:rPr>
        <w:t>15</w:t>
      </w:r>
    </w:p>
    <w:p w14:paraId="3DD1D9D6" w14:textId="192C0E2C" w:rsidR="00134682" w:rsidRDefault="0005772A" w:rsidP="00134682">
      <w:pPr>
        <w:ind w:left="1085" w:right="1085"/>
        <w:jc w:val="center"/>
        <w:rPr>
          <w:b/>
          <w:sz w:val="28"/>
        </w:rPr>
      </w:pPr>
      <w:r>
        <w:rPr>
          <w:b/>
          <w:sz w:val="28"/>
        </w:rPr>
        <w:t>High-Cost</w:t>
      </w:r>
      <w:r w:rsidR="00134682">
        <w:rPr>
          <w:b/>
          <w:spacing w:val="-3"/>
          <w:sz w:val="28"/>
        </w:rPr>
        <w:t xml:space="preserve"> </w:t>
      </w:r>
      <w:r w:rsidR="00134682">
        <w:rPr>
          <w:b/>
          <w:sz w:val="28"/>
        </w:rPr>
        <w:t>Drug</w:t>
      </w:r>
      <w:r w:rsidR="00134682">
        <w:rPr>
          <w:b/>
          <w:spacing w:val="-1"/>
          <w:sz w:val="28"/>
        </w:rPr>
        <w:t xml:space="preserve"> </w:t>
      </w:r>
      <w:r w:rsidR="00134682">
        <w:rPr>
          <w:b/>
          <w:sz w:val="28"/>
        </w:rPr>
        <w:t>Pool</w:t>
      </w:r>
      <w:r w:rsidR="00134682">
        <w:rPr>
          <w:b/>
          <w:spacing w:val="-1"/>
          <w:sz w:val="28"/>
        </w:rPr>
        <w:t xml:space="preserve"> </w:t>
      </w:r>
      <w:r w:rsidR="00134682">
        <w:rPr>
          <w:b/>
          <w:sz w:val="28"/>
        </w:rPr>
        <w:t>Risk</w:t>
      </w:r>
      <w:r w:rsidR="00134682">
        <w:rPr>
          <w:b/>
          <w:spacing w:val="-3"/>
          <w:sz w:val="28"/>
        </w:rPr>
        <w:t xml:space="preserve"> </w:t>
      </w:r>
      <w:r w:rsidR="00134682">
        <w:rPr>
          <w:b/>
          <w:sz w:val="28"/>
        </w:rPr>
        <w:t>Corridor</w:t>
      </w:r>
    </w:p>
    <w:p w14:paraId="4F3E613A" w14:textId="77777777" w:rsidR="0012270D" w:rsidRDefault="0012270D" w:rsidP="00134682">
      <w:pPr>
        <w:ind w:left="1085" w:right="1085"/>
        <w:jc w:val="center"/>
        <w:rPr>
          <w:b/>
          <w:sz w:val="28"/>
        </w:rPr>
      </w:pPr>
    </w:p>
    <w:p w14:paraId="01BECC78" w14:textId="7D7DE696" w:rsidR="00A067D3" w:rsidRDefault="00A067D3" w:rsidP="00134682">
      <w:pPr>
        <w:ind w:left="1085" w:right="1085"/>
        <w:jc w:val="center"/>
        <w:rPr>
          <w:b/>
          <w:sz w:val="28"/>
        </w:rPr>
      </w:pPr>
      <w:r w:rsidRPr="00E638C6">
        <w:rPr>
          <w:rFonts w:eastAsiaTheme="minorHAnsi"/>
        </w:rPr>
        <w:t xml:space="preserve">*This is an example from the current MCO contract.  This may not reflect the </w:t>
      </w:r>
      <w:r w:rsidR="00021071" w:rsidRPr="00E638C6">
        <w:rPr>
          <w:rFonts w:eastAsiaTheme="minorHAnsi"/>
        </w:rPr>
        <w:t>High Cost Drug Pool Risk Corridor for the awarded contract.</w:t>
      </w:r>
    </w:p>
    <w:p w14:paraId="369EB1BF" w14:textId="77777777" w:rsidR="00134682" w:rsidRDefault="00134682" w:rsidP="00134682">
      <w:pPr>
        <w:pStyle w:val="BodyText"/>
        <w:spacing w:before="7"/>
        <w:rPr>
          <w:b/>
          <w:sz w:val="23"/>
        </w:rPr>
      </w:pPr>
    </w:p>
    <w:p w14:paraId="0115BF69" w14:textId="25E4E47A" w:rsidR="00134682" w:rsidRDefault="00134682" w:rsidP="00134682">
      <w:pPr>
        <w:pStyle w:val="BodyText"/>
        <w:ind w:left="960" w:right="988"/>
        <w:rPr>
          <w:rFonts w:ascii="Calibri" w:hAnsi="Calibri"/>
        </w:rPr>
      </w:pPr>
      <w:r>
        <w:rPr>
          <w:rFonts w:ascii="Calibri" w:hAnsi="Calibri"/>
        </w:rPr>
        <w:t xml:space="preserve">Nebraska Medicaid has implemented a </w:t>
      </w:r>
      <w:r w:rsidR="0005772A">
        <w:rPr>
          <w:rFonts w:ascii="Calibri" w:hAnsi="Calibri"/>
        </w:rPr>
        <w:t>high-cost</w:t>
      </w:r>
      <w:r>
        <w:rPr>
          <w:rFonts w:ascii="Calibri" w:hAnsi="Calibri"/>
        </w:rPr>
        <w:t xml:space="preserve"> drug pool as part of the</w:t>
      </w:r>
      <w:r>
        <w:rPr>
          <w:rFonts w:ascii="Calibri" w:hAnsi="Calibri"/>
          <w:spacing w:val="1"/>
        </w:rPr>
        <w:t xml:space="preserve"> </w:t>
      </w:r>
      <w:r>
        <w:rPr>
          <w:rFonts w:ascii="Calibri" w:hAnsi="Calibri"/>
        </w:rPr>
        <w:t>Heritage Health program. The purpose of this pool is to develop a mechanism that will retrospectively</w:t>
      </w:r>
      <w:r>
        <w:rPr>
          <w:rFonts w:ascii="Calibri" w:hAnsi="Calibri"/>
          <w:spacing w:val="1"/>
        </w:rPr>
        <w:t xml:space="preserve"> </w:t>
      </w:r>
      <w:r>
        <w:rPr>
          <w:rFonts w:ascii="Calibri" w:hAnsi="Calibri"/>
        </w:rPr>
        <w:t>re-allocate funding between MCOs should there be a disproportionate share of high-cost drug</w:t>
      </w:r>
      <w:r>
        <w:rPr>
          <w:rFonts w:ascii="Calibri" w:hAnsi="Calibri"/>
          <w:spacing w:val="1"/>
        </w:rPr>
        <w:t xml:space="preserve"> </w:t>
      </w:r>
      <w:r>
        <w:rPr>
          <w:rFonts w:ascii="Calibri" w:hAnsi="Calibri"/>
        </w:rPr>
        <w:t>experience for any MCO(s). The CY19 high-cost drug pool was considered budget-neutral from the State</w:t>
      </w:r>
      <w:r>
        <w:rPr>
          <w:rFonts w:ascii="Calibri" w:hAnsi="Calibri"/>
          <w:spacing w:val="1"/>
        </w:rPr>
        <w:t xml:space="preserve"> </w:t>
      </w:r>
      <w:r>
        <w:rPr>
          <w:rFonts w:ascii="Calibri" w:hAnsi="Calibri"/>
        </w:rPr>
        <w:t xml:space="preserve">and CMS’ perspective. However, as a result of continued uncertainty regarding emerging </w:t>
      </w:r>
      <w:r w:rsidR="0005772A">
        <w:rPr>
          <w:rFonts w:ascii="Calibri" w:hAnsi="Calibri"/>
        </w:rPr>
        <w:t>high-cost</w:t>
      </w:r>
      <w:r>
        <w:rPr>
          <w:rFonts w:ascii="Calibri" w:hAnsi="Calibri"/>
        </w:rPr>
        <w:t xml:space="preserve"> drugs</w:t>
      </w:r>
      <w:r>
        <w:rPr>
          <w:rFonts w:ascii="Calibri" w:hAnsi="Calibri"/>
          <w:spacing w:val="-47"/>
        </w:rPr>
        <w:t xml:space="preserve"> </w:t>
      </w:r>
      <w:r>
        <w:rPr>
          <w:rFonts w:ascii="Calibri" w:hAnsi="Calibri"/>
        </w:rPr>
        <w:t>coming into the market, the State has decided to include a risk corridor around the high-cost drug pool</w:t>
      </w:r>
      <w:r>
        <w:rPr>
          <w:rFonts w:ascii="Calibri" w:hAnsi="Calibri"/>
          <w:spacing w:val="1"/>
        </w:rPr>
        <w:t xml:space="preserve"> </w:t>
      </w:r>
      <w:r>
        <w:rPr>
          <w:rFonts w:ascii="Calibri" w:hAnsi="Calibri"/>
        </w:rPr>
        <w:t>in</w:t>
      </w:r>
      <w:r>
        <w:rPr>
          <w:rFonts w:ascii="Calibri" w:hAnsi="Calibri"/>
          <w:spacing w:val="-2"/>
        </w:rPr>
        <w:t xml:space="preserve"> </w:t>
      </w:r>
      <w:r>
        <w:rPr>
          <w:rFonts w:ascii="Calibri" w:hAnsi="Calibri"/>
        </w:rPr>
        <w:t>CY20, CY21, and CY22. Detail</w:t>
      </w:r>
      <w:r w:rsidR="0005772A">
        <w:rPr>
          <w:rFonts w:ascii="Calibri" w:hAnsi="Calibri"/>
        </w:rPr>
        <w:t>s</w:t>
      </w:r>
      <w:r>
        <w:rPr>
          <w:rFonts w:ascii="Calibri" w:hAnsi="Calibri"/>
        </w:rPr>
        <w:t xml:space="preserve"> surrounding the</w:t>
      </w:r>
      <w:r>
        <w:rPr>
          <w:rFonts w:ascii="Calibri" w:hAnsi="Calibri"/>
          <w:spacing w:val="1"/>
        </w:rPr>
        <w:t xml:space="preserve"> </w:t>
      </w:r>
      <w:r>
        <w:rPr>
          <w:rFonts w:ascii="Calibri" w:hAnsi="Calibri"/>
        </w:rPr>
        <w:t>high-cost</w:t>
      </w:r>
      <w:r>
        <w:rPr>
          <w:rFonts w:ascii="Calibri" w:hAnsi="Calibri"/>
          <w:spacing w:val="-2"/>
        </w:rPr>
        <w:t xml:space="preserve"> </w:t>
      </w:r>
      <w:r>
        <w:rPr>
          <w:rFonts w:ascii="Calibri" w:hAnsi="Calibri"/>
        </w:rPr>
        <w:t>drug risk</w:t>
      </w:r>
      <w:r>
        <w:rPr>
          <w:rFonts w:ascii="Calibri" w:hAnsi="Calibri"/>
          <w:spacing w:val="-3"/>
        </w:rPr>
        <w:t xml:space="preserve"> </w:t>
      </w:r>
      <w:r>
        <w:rPr>
          <w:rFonts w:ascii="Calibri" w:hAnsi="Calibri"/>
        </w:rPr>
        <w:t xml:space="preserve">corridor for CY22 </w:t>
      </w:r>
      <w:r w:rsidR="0005772A">
        <w:rPr>
          <w:rFonts w:ascii="Calibri" w:hAnsi="Calibri"/>
        </w:rPr>
        <w:t xml:space="preserve">are </w:t>
      </w:r>
      <w:r>
        <w:rPr>
          <w:rFonts w:ascii="Calibri" w:hAnsi="Calibri"/>
        </w:rPr>
        <w:t>below.</w:t>
      </w:r>
    </w:p>
    <w:p w14:paraId="3A5CDC83" w14:textId="77777777" w:rsidR="00134682" w:rsidRDefault="00134682" w:rsidP="00134682">
      <w:pPr>
        <w:pStyle w:val="BodyText"/>
        <w:spacing w:before="11"/>
        <w:rPr>
          <w:rFonts w:ascii="Calibri"/>
          <w:sz w:val="21"/>
        </w:rPr>
      </w:pPr>
    </w:p>
    <w:p w14:paraId="17845E5E" w14:textId="77777777" w:rsidR="00134682" w:rsidRDefault="00134682" w:rsidP="00134682">
      <w:pPr>
        <w:spacing w:before="1"/>
        <w:ind w:left="960"/>
        <w:rPr>
          <w:rFonts w:ascii="Calibri"/>
          <w:i/>
        </w:rPr>
      </w:pPr>
      <w:r>
        <w:rPr>
          <w:rFonts w:ascii="Calibri"/>
          <w:i/>
        </w:rPr>
        <w:t>Drug</w:t>
      </w:r>
      <w:r>
        <w:rPr>
          <w:rFonts w:ascii="Calibri"/>
          <w:i/>
          <w:spacing w:val="-2"/>
        </w:rPr>
        <w:t xml:space="preserve"> </w:t>
      </w:r>
      <w:r>
        <w:rPr>
          <w:rFonts w:ascii="Calibri"/>
          <w:i/>
        </w:rPr>
        <w:t>Identification</w:t>
      </w:r>
      <w:r>
        <w:rPr>
          <w:rFonts w:ascii="Calibri"/>
          <w:i/>
          <w:spacing w:val="-2"/>
        </w:rPr>
        <w:t xml:space="preserve"> </w:t>
      </w:r>
      <w:r>
        <w:rPr>
          <w:rFonts w:ascii="Calibri"/>
          <w:i/>
        </w:rPr>
        <w:t>Criteria</w:t>
      </w:r>
    </w:p>
    <w:p w14:paraId="4C24F3BF" w14:textId="699E0FFE" w:rsidR="00134682" w:rsidRPr="0071776D" w:rsidRDefault="00134682" w:rsidP="00134682">
      <w:pPr>
        <w:pStyle w:val="BodyText"/>
        <w:ind w:left="960" w:right="1099"/>
        <w:rPr>
          <w:rFonts w:ascii="Calibri"/>
        </w:rPr>
      </w:pPr>
      <w:r w:rsidRPr="0071776D">
        <w:rPr>
          <w:rFonts w:ascii="Calibri"/>
        </w:rPr>
        <w:t xml:space="preserve">High-cost drug experience has been identified within the CY18 and CY19 base data using a cost-based approach. Ten-digit Generic Product Indicators (GPIs), as well as injectable codes on the CY18 and CY19 fee schedules that have an average cost of </w:t>
      </w:r>
      <w:r w:rsidR="00C1400B">
        <w:rPr>
          <w:rFonts w:ascii="Calibri"/>
        </w:rPr>
        <w:t>ten thousand dollars</w:t>
      </w:r>
      <w:r w:rsidR="00FB49DE">
        <w:rPr>
          <w:rFonts w:ascii="Calibri"/>
        </w:rPr>
        <w:t xml:space="preserve"> ($10,000</w:t>
      </w:r>
      <w:r w:rsidR="00C1400B">
        <w:rPr>
          <w:rFonts w:ascii="Calibri"/>
        </w:rPr>
        <w:t>)</w:t>
      </w:r>
      <w:r w:rsidRPr="0071776D">
        <w:rPr>
          <w:rFonts w:ascii="Calibri"/>
        </w:rPr>
        <w:t xml:space="preserve"> PMPM</w:t>
      </w:r>
      <w:r w:rsidR="00C1400B">
        <w:rPr>
          <w:rFonts w:ascii="Calibri"/>
        </w:rPr>
        <w:t xml:space="preserve"> (per member per month)</w:t>
      </w:r>
      <w:r w:rsidRPr="0071776D">
        <w:rPr>
          <w:rFonts w:ascii="Calibri"/>
        </w:rPr>
        <w:t xml:space="preserve">, have been classified as high-cost. This high-cost drug pool will only be applicable to the non-Dual populations. The following Heritage Health rating cohorts will be exempt: Healthy Dual, Dual LTC, and Dual Waiver. Additionally, the </w:t>
      </w:r>
      <w:r w:rsidR="00AB48BD">
        <w:rPr>
          <w:rFonts w:ascii="Calibri"/>
        </w:rPr>
        <w:t>Heritage Health Adult (</w:t>
      </w:r>
      <w:r w:rsidRPr="0071776D">
        <w:rPr>
          <w:rFonts w:ascii="Calibri"/>
        </w:rPr>
        <w:t>HHA</w:t>
      </w:r>
      <w:r w:rsidR="00AB48BD">
        <w:rPr>
          <w:rFonts w:ascii="Calibri"/>
        </w:rPr>
        <w:t>)</w:t>
      </w:r>
      <w:r w:rsidRPr="0071776D">
        <w:rPr>
          <w:rFonts w:ascii="Calibri"/>
        </w:rPr>
        <w:t xml:space="preserve"> and </w:t>
      </w:r>
      <w:r w:rsidR="00C1400B">
        <w:rPr>
          <w:rFonts w:ascii="Calibri"/>
        </w:rPr>
        <w:lastRenderedPageBreak/>
        <w:t>Health Insurance Premium Payment</w:t>
      </w:r>
      <w:r w:rsidR="00C1400B" w:rsidRPr="0071776D">
        <w:rPr>
          <w:rFonts w:ascii="Calibri"/>
        </w:rPr>
        <w:t xml:space="preserve"> </w:t>
      </w:r>
      <w:r w:rsidRPr="0071776D">
        <w:rPr>
          <w:rFonts w:ascii="Calibri"/>
        </w:rPr>
        <w:t>populations are exempt from the high-cost drug pool as a result of having their own population-specific risk corridors in place.</w:t>
      </w:r>
    </w:p>
    <w:p w14:paraId="40A7B7AF" w14:textId="77777777" w:rsidR="00134682" w:rsidRDefault="00134682" w:rsidP="00134682">
      <w:pPr>
        <w:pStyle w:val="BodyText"/>
        <w:ind w:left="960" w:right="1099"/>
        <w:rPr>
          <w:rFonts w:ascii="Calibri"/>
        </w:rPr>
      </w:pPr>
    </w:p>
    <w:p w14:paraId="7D3E917B" w14:textId="77777777" w:rsidR="00134682" w:rsidRPr="0071776D" w:rsidRDefault="00134682" w:rsidP="00134682">
      <w:pPr>
        <w:pStyle w:val="BodyText"/>
        <w:ind w:left="960" w:right="1099"/>
        <w:rPr>
          <w:rFonts w:ascii="Calibri"/>
        </w:rPr>
      </w:pPr>
      <w:r w:rsidRPr="0071776D">
        <w:rPr>
          <w:rFonts w:ascii="Calibri"/>
        </w:rPr>
        <w:t>The following steps have been taken to identify the GPIs or Physician-Administered Drugs (PAD) that meet the high-cost criteria:</w:t>
      </w:r>
    </w:p>
    <w:p w14:paraId="646024E0" w14:textId="77777777" w:rsidR="00134682" w:rsidRPr="0071776D" w:rsidRDefault="00134682" w:rsidP="00134682">
      <w:pPr>
        <w:pStyle w:val="BodyText"/>
        <w:ind w:left="960" w:right="1099"/>
        <w:rPr>
          <w:rFonts w:ascii="Calibri"/>
        </w:rPr>
      </w:pPr>
      <w:r w:rsidRPr="0071776D">
        <w:rPr>
          <w:rFonts w:ascii="Calibri"/>
        </w:rPr>
        <w:t xml:space="preserve">1. Utilizers of each GPI or injectable/PAD were identified, along with all associated member months for </w:t>
      </w:r>
      <w:proofErr w:type="gramStart"/>
      <w:r w:rsidRPr="0071776D">
        <w:rPr>
          <w:rFonts w:ascii="Calibri"/>
        </w:rPr>
        <w:t>these</w:t>
      </w:r>
      <w:proofErr w:type="gramEnd"/>
      <w:r w:rsidRPr="0071776D">
        <w:rPr>
          <w:rFonts w:ascii="Calibri"/>
        </w:rPr>
        <w:t xml:space="preserve"> utilizers across the entire calendar year</w:t>
      </w:r>
    </w:p>
    <w:p w14:paraId="577395B1" w14:textId="77777777" w:rsidR="00134682" w:rsidRPr="0071776D" w:rsidRDefault="00134682" w:rsidP="00134682">
      <w:pPr>
        <w:pStyle w:val="BodyText"/>
        <w:ind w:left="960" w:right="1099"/>
        <w:rPr>
          <w:rFonts w:ascii="Calibri"/>
        </w:rPr>
      </w:pPr>
      <w:r w:rsidRPr="0071776D">
        <w:rPr>
          <w:rFonts w:ascii="Calibri"/>
        </w:rPr>
        <w:t xml:space="preserve">2. The total paid dollars and total member months for drug utilizers were summarized to determine an average </w:t>
      </w:r>
      <w:r w:rsidRPr="0071776D">
        <w:rPr>
          <w:rFonts w:ascii="Calibri"/>
        </w:rPr>
        <w:t>“</w:t>
      </w:r>
      <w:r w:rsidRPr="0071776D">
        <w:rPr>
          <w:rFonts w:ascii="Calibri"/>
        </w:rPr>
        <w:t>utilizer</w:t>
      </w:r>
      <w:r w:rsidRPr="0071776D">
        <w:rPr>
          <w:rFonts w:ascii="Calibri"/>
        </w:rPr>
        <w:t>”</w:t>
      </w:r>
      <w:r w:rsidRPr="0071776D">
        <w:rPr>
          <w:rFonts w:ascii="Calibri"/>
        </w:rPr>
        <w:t xml:space="preserve"> PMPM for each GPI and injectable within the CY18 and CY19 data</w:t>
      </w:r>
    </w:p>
    <w:p w14:paraId="08428BDC" w14:textId="45E994D4" w:rsidR="00134682" w:rsidRDefault="00134682" w:rsidP="00134682">
      <w:pPr>
        <w:pStyle w:val="BodyText"/>
        <w:ind w:left="960" w:right="1099"/>
        <w:rPr>
          <w:rFonts w:ascii="Calibri"/>
        </w:rPr>
      </w:pPr>
      <w:r w:rsidRPr="0071776D">
        <w:rPr>
          <w:rFonts w:ascii="Calibri"/>
        </w:rPr>
        <w:t xml:space="preserve">3. Each GPI or injectable with an average </w:t>
      </w:r>
      <w:r w:rsidRPr="0071776D">
        <w:rPr>
          <w:rFonts w:ascii="Calibri"/>
        </w:rPr>
        <w:t>“</w:t>
      </w:r>
      <w:r w:rsidRPr="0071776D">
        <w:rPr>
          <w:rFonts w:ascii="Calibri"/>
        </w:rPr>
        <w:t>utilizer</w:t>
      </w:r>
      <w:r w:rsidRPr="0071776D">
        <w:rPr>
          <w:rFonts w:ascii="Calibri"/>
        </w:rPr>
        <w:t>”</w:t>
      </w:r>
      <w:r w:rsidRPr="0071776D">
        <w:rPr>
          <w:rFonts w:ascii="Calibri"/>
        </w:rPr>
        <w:t xml:space="preserve"> PMPM of </w:t>
      </w:r>
      <w:r w:rsidR="00FB49DE">
        <w:rPr>
          <w:rFonts w:ascii="Calibri"/>
        </w:rPr>
        <w:t>ten thousand dollars ($10,000)</w:t>
      </w:r>
      <w:r w:rsidR="00FB49DE" w:rsidRPr="0071776D">
        <w:rPr>
          <w:rFonts w:ascii="Calibri"/>
        </w:rPr>
        <w:t xml:space="preserve"> </w:t>
      </w:r>
      <w:r w:rsidRPr="0071776D">
        <w:rPr>
          <w:rFonts w:ascii="Calibri"/>
        </w:rPr>
        <w:t>or greater meets the criteria for the high-cost pharmacy risk pool within the base data</w:t>
      </w:r>
    </w:p>
    <w:p w14:paraId="7BFC2141" w14:textId="77777777" w:rsidR="00134682" w:rsidRDefault="00134682" w:rsidP="00134682">
      <w:pPr>
        <w:pStyle w:val="BodyText"/>
        <w:spacing w:before="10"/>
        <w:rPr>
          <w:rFonts w:ascii="Calibri"/>
          <w:sz w:val="21"/>
        </w:rPr>
      </w:pPr>
    </w:p>
    <w:p w14:paraId="1294AC82" w14:textId="62893907" w:rsidR="00134682" w:rsidRDefault="00134682" w:rsidP="00134682">
      <w:pPr>
        <w:pStyle w:val="BodyText"/>
        <w:ind w:left="960" w:right="1019"/>
        <w:rPr>
          <w:rFonts w:ascii="Calibri"/>
        </w:rPr>
      </w:pPr>
      <w:r>
        <w:rPr>
          <w:rFonts w:ascii="Calibri"/>
        </w:rPr>
        <w:t xml:space="preserve">For example: there are </w:t>
      </w:r>
      <w:r w:rsidR="00FB49DE">
        <w:rPr>
          <w:rFonts w:ascii="Calibri"/>
        </w:rPr>
        <w:t>ten (</w:t>
      </w:r>
      <w:r>
        <w:rPr>
          <w:rFonts w:ascii="Calibri"/>
        </w:rPr>
        <w:t>10</w:t>
      </w:r>
      <w:r w:rsidR="00FB49DE">
        <w:rPr>
          <w:rFonts w:ascii="Calibri"/>
        </w:rPr>
        <w:t>)</w:t>
      </w:r>
      <w:r>
        <w:rPr>
          <w:rFonts w:ascii="Calibri"/>
        </w:rPr>
        <w:t xml:space="preserve"> members who utilize a particular GPI in CY18. These </w:t>
      </w:r>
      <w:r w:rsidR="00FB49DE">
        <w:rPr>
          <w:rFonts w:ascii="Calibri"/>
        </w:rPr>
        <w:t>ten (</w:t>
      </w:r>
      <w:r>
        <w:rPr>
          <w:rFonts w:ascii="Calibri"/>
        </w:rPr>
        <w:t>10</w:t>
      </w:r>
      <w:r w:rsidR="00FB49DE">
        <w:rPr>
          <w:rFonts w:ascii="Calibri"/>
        </w:rPr>
        <w:t>)</w:t>
      </w:r>
      <w:r>
        <w:rPr>
          <w:rFonts w:ascii="Calibri"/>
        </w:rPr>
        <w:t xml:space="preserve"> members have a</w:t>
      </w:r>
      <w:r>
        <w:rPr>
          <w:rFonts w:ascii="Calibri"/>
          <w:spacing w:val="1"/>
        </w:rPr>
        <w:t xml:space="preserve"> </w:t>
      </w:r>
      <w:r>
        <w:rPr>
          <w:rFonts w:ascii="Calibri"/>
        </w:rPr>
        <w:t xml:space="preserve">combined </w:t>
      </w:r>
      <w:r w:rsidR="00FB49DE">
        <w:rPr>
          <w:rFonts w:ascii="Calibri"/>
        </w:rPr>
        <w:t>ninety (</w:t>
      </w:r>
      <w:r>
        <w:rPr>
          <w:rFonts w:ascii="Calibri"/>
        </w:rPr>
        <w:t>90</w:t>
      </w:r>
      <w:r w:rsidR="00FB49DE">
        <w:rPr>
          <w:rFonts w:ascii="Calibri"/>
        </w:rPr>
        <w:t>)</w:t>
      </w:r>
      <w:r>
        <w:rPr>
          <w:rFonts w:ascii="Calibri"/>
        </w:rPr>
        <w:t xml:space="preserve"> member months through CY18. The total expenditures for this GPI are $900,000</w:t>
      </w:r>
      <w:r w:rsidR="00C1400B">
        <w:rPr>
          <w:rFonts w:ascii="Calibri"/>
        </w:rPr>
        <w:t xml:space="preserve"> (nine hundred thousand dollars)</w:t>
      </w:r>
      <w:r>
        <w:rPr>
          <w:rFonts w:ascii="Calibri"/>
        </w:rPr>
        <w:t>, resulting</w:t>
      </w:r>
      <w:r>
        <w:rPr>
          <w:rFonts w:ascii="Calibri"/>
          <w:spacing w:val="-47"/>
        </w:rPr>
        <w:t xml:space="preserve"> </w:t>
      </w:r>
      <w:r>
        <w:rPr>
          <w:rFonts w:ascii="Calibri"/>
        </w:rPr>
        <w:t xml:space="preserve">in an average PMPM of </w:t>
      </w:r>
      <w:r w:rsidR="00FB49DE">
        <w:rPr>
          <w:rFonts w:ascii="Calibri"/>
        </w:rPr>
        <w:t>ten thousand dollars ($10,000)</w:t>
      </w:r>
      <w:r>
        <w:rPr>
          <w:rFonts w:ascii="Calibri"/>
        </w:rPr>
        <w:t>. All expenditures associated with this GPI would now be included in the</w:t>
      </w:r>
      <w:r>
        <w:rPr>
          <w:rFonts w:ascii="Calibri"/>
          <w:spacing w:val="-47"/>
        </w:rPr>
        <w:t xml:space="preserve"> </w:t>
      </w:r>
      <w:r>
        <w:rPr>
          <w:rFonts w:ascii="Calibri"/>
        </w:rPr>
        <w:t>development</w:t>
      </w:r>
      <w:r>
        <w:rPr>
          <w:rFonts w:ascii="Calibri"/>
          <w:spacing w:val="-2"/>
        </w:rPr>
        <w:t xml:space="preserve"> </w:t>
      </w:r>
      <w:r>
        <w:rPr>
          <w:rFonts w:ascii="Calibri"/>
        </w:rPr>
        <w:t>of</w:t>
      </w:r>
      <w:r>
        <w:rPr>
          <w:rFonts w:ascii="Calibri"/>
          <w:spacing w:val="-1"/>
        </w:rPr>
        <w:t xml:space="preserve"> </w:t>
      </w:r>
      <w:r>
        <w:rPr>
          <w:rFonts w:ascii="Calibri"/>
        </w:rPr>
        <w:t>the</w:t>
      </w:r>
      <w:r>
        <w:rPr>
          <w:rFonts w:ascii="Calibri"/>
          <w:spacing w:val="1"/>
        </w:rPr>
        <w:t xml:space="preserve"> </w:t>
      </w:r>
      <w:r>
        <w:rPr>
          <w:rFonts w:ascii="Calibri"/>
        </w:rPr>
        <w:t>high-cost</w:t>
      </w:r>
      <w:r>
        <w:rPr>
          <w:rFonts w:ascii="Calibri"/>
          <w:spacing w:val="2"/>
        </w:rPr>
        <w:t xml:space="preserve"> </w:t>
      </w:r>
      <w:r>
        <w:rPr>
          <w:rFonts w:ascii="Calibri"/>
        </w:rPr>
        <w:t>drug</w:t>
      </w:r>
      <w:r>
        <w:rPr>
          <w:rFonts w:ascii="Calibri"/>
          <w:spacing w:val="-2"/>
        </w:rPr>
        <w:t xml:space="preserve"> </w:t>
      </w:r>
      <w:r>
        <w:rPr>
          <w:rFonts w:ascii="Calibri"/>
        </w:rPr>
        <w:t>pool.</w:t>
      </w:r>
    </w:p>
    <w:p w14:paraId="6CAAAE4C" w14:textId="77777777" w:rsidR="00134682" w:rsidRDefault="00134682" w:rsidP="00134682">
      <w:pPr>
        <w:pStyle w:val="BodyText"/>
        <w:spacing w:before="11"/>
        <w:rPr>
          <w:rFonts w:ascii="Calibri"/>
          <w:sz w:val="21"/>
        </w:rPr>
      </w:pPr>
    </w:p>
    <w:p w14:paraId="6AED86DA" w14:textId="77777777" w:rsidR="00134682" w:rsidRDefault="00134682" w:rsidP="00134682">
      <w:pPr>
        <w:ind w:left="960"/>
        <w:rPr>
          <w:rFonts w:ascii="Calibri"/>
          <w:i/>
        </w:rPr>
      </w:pPr>
      <w:r>
        <w:rPr>
          <w:rFonts w:ascii="Calibri"/>
          <w:i/>
        </w:rPr>
        <w:t>Establish</w:t>
      </w:r>
      <w:r>
        <w:rPr>
          <w:rFonts w:ascii="Calibri"/>
          <w:i/>
          <w:spacing w:val="-1"/>
        </w:rPr>
        <w:t xml:space="preserve"> </w:t>
      </w:r>
      <w:r>
        <w:rPr>
          <w:rFonts w:ascii="Calibri"/>
          <w:i/>
        </w:rPr>
        <w:t>Benchmarks</w:t>
      </w:r>
    </w:p>
    <w:p w14:paraId="355B531B" w14:textId="77777777" w:rsidR="00134682" w:rsidRDefault="00134682" w:rsidP="00134682">
      <w:pPr>
        <w:pStyle w:val="BodyText"/>
        <w:spacing w:before="1"/>
        <w:ind w:left="960" w:right="1019"/>
        <w:rPr>
          <w:rFonts w:ascii="Calibri"/>
        </w:rPr>
      </w:pPr>
      <w:r w:rsidRPr="0071776D">
        <w:rPr>
          <w:rFonts w:ascii="Calibri"/>
        </w:rPr>
        <w:t xml:space="preserve">Upon identification of the relevant GPIs and </w:t>
      </w:r>
      <w:proofErr w:type="spellStart"/>
      <w:r w:rsidRPr="0071776D">
        <w:rPr>
          <w:rFonts w:ascii="Calibri"/>
        </w:rPr>
        <w:t>injectables</w:t>
      </w:r>
      <w:proofErr w:type="spellEnd"/>
      <w:r w:rsidRPr="0071776D">
        <w:rPr>
          <w:rFonts w:ascii="Calibri"/>
        </w:rPr>
        <w:t xml:space="preserve">, the total spend associated with these drugs was summarized to arrive at a specific high-cost drug PMPM by COA and Rating Region. These </w:t>
      </w:r>
      <w:r w:rsidRPr="0071776D">
        <w:rPr>
          <w:rFonts w:ascii="Calibri"/>
        </w:rPr>
        <w:lastRenderedPageBreak/>
        <w:t>amounts were then projected forward to the CY22 contract period. A sample of the high-cost drug pool cost projection is shown below:</w:t>
      </w:r>
    </w:p>
    <w:p w14:paraId="0B8FFAAB" w14:textId="77777777" w:rsidR="00134682" w:rsidRDefault="00134682" w:rsidP="00134682">
      <w:pPr>
        <w:pStyle w:val="BodyText"/>
        <w:spacing w:before="1"/>
        <w:ind w:left="960" w:right="1019"/>
        <w:rPr>
          <w:rFonts w:ascii="Calibri"/>
        </w:rPr>
      </w:pPr>
    </w:p>
    <w:p w14:paraId="2D902D04" w14:textId="77777777" w:rsidR="00134682" w:rsidRDefault="00134682" w:rsidP="00134682">
      <w:pPr>
        <w:pStyle w:val="BodyText"/>
        <w:spacing w:before="1" w:after="1"/>
        <w:rPr>
          <w:rFonts w:ascii="Calibri"/>
        </w:rPr>
      </w:pPr>
    </w:p>
    <w:tbl>
      <w:tblPr>
        <w:tblW w:w="0" w:type="auto"/>
        <w:tblInd w:w="13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234"/>
        <w:gridCol w:w="1233"/>
        <w:gridCol w:w="1233"/>
        <w:gridCol w:w="1234"/>
        <w:gridCol w:w="1234"/>
        <w:gridCol w:w="1233"/>
        <w:gridCol w:w="1233"/>
      </w:tblGrid>
      <w:tr w:rsidR="00134682" w14:paraId="3B265D33" w14:textId="77777777" w:rsidTr="00C766AA">
        <w:trPr>
          <w:trHeight w:val="1336"/>
        </w:trPr>
        <w:tc>
          <w:tcPr>
            <w:tcW w:w="1234" w:type="dxa"/>
            <w:tcBorders>
              <w:left w:val="single" w:sz="4" w:space="0" w:color="000000"/>
            </w:tcBorders>
          </w:tcPr>
          <w:p w14:paraId="0F1BC374" w14:textId="77777777" w:rsidR="00134682" w:rsidRDefault="00134682" w:rsidP="00C766AA">
            <w:pPr>
              <w:pStyle w:val="TableParagraph"/>
              <w:spacing w:line="266" w:lineRule="exact"/>
              <w:ind w:left="107"/>
              <w:rPr>
                <w:rFonts w:ascii="Calibri"/>
                <w:b/>
              </w:rPr>
            </w:pPr>
            <w:r>
              <w:rPr>
                <w:rFonts w:ascii="Calibri"/>
                <w:b/>
              </w:rPr>
              <w:t>COA</w:t>
            </w:r>
          </w:p>
        </w:tc>
        <w:tc>
          <w:tcPr>
            <w:tcW w:w="1233" w:type="dxa"/>
          </w:tcPr>
          <w:p w14:paraId="3725FA2E" w14:textId="77777777" w:rsidR="00134682" w:rsidRDefault="00134682" w:rsidP="00C766AA">
            <w:pPr>
              <w:pStyle w:val="TableParagraph"/>
              <w:spacing w:line="266" w:lineRule="exact"/>
              <w:ind w:left="105"/>
              <w:rPr>
                <w:rFonts w:ascii="Calibri"/>
                <w:b/>
              </w:rPr>
            </w:pPr>
            <w:r>
              <w:rPr>
                <w:rFonts w:ascii="Calibri"/>
                <w:b/>
              </w:rPr>
              <w:t>Total</w:t>
            </w:r>
          </w:p>
          <w:p w14:paraId="46FB83AA" w14:textId="77777777" w:rsidR="00134682" w:rsidRDefault="00134682" w:rsidP="00C766AA">
            <w:pPr>
              <w:pStyle w:val="TableParagraph"/>
              <w:ind w:left="104"/>
              <w:rPr>
                <w:rFonts w:ascii="Calibri"/>
                <w:b/>
              </w:rPr>
            </w:pPr>
            <w:r>
              <w:rPr>
                <w:rFonts w:ascii="Calibri"/>
                <w:b/>
              </w:rPr>
              <w:t>COA</w:t>
            </w:r>
            <w:r>
              <w:rPr>
                <w:rFonts w:ascii="Calibri"/>
                <w:b/>
                <w:spacing w:val="-1"/>
              </w:rPr>
              <w:t xml:space="preserve"> </w:t>
            </w:r>
            <w:r>
              <w:rPr>
                <w:rFonts w:ascii="Calibri"/>
                <w:b/>
              </w:rPr>
              <w:t>MMs</w:t>
            </w:r>
          </w:p>
        </w:tc>
        <w:tc>
          <w:tcPr>
            <w:tcW w:w="1233" w:type="dxa"/>
            <w:tcBorders>
              <w:right w:val="single" w:sz="4" w:space="0" w:color="000000"/>
            </w:tcBorders>
          </w:tcPr>
          <w:p w14:paraId="39F6D924" w14:textId="591DF4CF" w:rsidR="00134682" w:rsidRDefault="00406B5D" w:rsidP="00C766AA">
            <w:pPr>
              <w:pStyle w:val="TableParagraph"/>
              <w:ind w:left="103" w:right="124"/>
              <w:rPr>
                <w:rFonts w:ascii="Calibri"/>
                <w:b/>
              </w:rPr>
            </w:pPr>
            <w:r>
              <w:rPr>
                <w:rFonts w:ascii="Calibri"/>
                <w:b/>
              </w:rPr>
              <w:t>High-Cost</w:t>
            </w:r>
            <w:r w:rsidR="00134682">
              <w:rPr>
                <w:rFonts w:ascii="Calibri"/>
                <w:b/>
                <w:spacing w:val="1"/>
              </w:rPr>
              <w:t xml:space="preserve"> </w:t>
            </w:r>
            <w:r w:rsidR="00134682">
              <w:rPr>
                <w:rFonts w:ascii="Calibri"/>
                <w:b/>
              </w:rPr>
              <w:t>GPI</w:t>
            </w:r>
            <w:r w:rsidR="00134682">
              <w:rPr>
                <w:rFonts w:ascii="Calibri"/>
                <w:b/>
                <w:spacing w:val="-11"/>
              </w:rPr>
              <w:t xml:space="preserve"> </w:t>
            </w:r>
            <w:r w:rsidR="00134682">
              <w:rPr>
                <w:rFonts w:ascii="Calibri"/>
                <w:b/>
              </w:rPr>
              <w:t>PMPM</w:t>
            </w:r>
          </w:p>
        </w:tc>
        <w:tc>
          <w:tcPr>
            <w:tcW w:w="1234" w:type="dxa"/>
            <w:tcBorders>
              <w:left w:val="single" w:sz="4" w:space="0" w:color="000000"/>
              <w:right w:val="single" w:sz="4" w:space="0" w:color="000000"/>
            </w:tcBorders>
          </w:tcPr>
          <w:p w14:paraId="4DF4FF63" w14:textId="10806ED4" w:rsidR="00134682" w:rsidRDefault="00406B5D" w:rsidP="00C766AA">
            <w:pPr>
              <w:pStyle w:val="TableParagraph"/>
              <w:ind w:left="106" w:right="194"/>
              <w:rPr>
                <w:rFonts w:ascii="Calibri"/>
                <w:b/>
              </w:rPr>
            </w:pPr>
            <w:r>
              <w:rPr>
                <w:rFonts w:ascii="Calibri"/>
                <w:b/>
              </w:rPr>
              <w:t>High-Cost</w:t>
            </w:r>
            <w:r w:rsidR="00134682">
              <w:rPr>
                <w:rFonts w:ascii="Calibri"/>
                <w:b/>
                <w:spacing w:val="-47"/>
              </w:rPr>
              <w:t xml:space="preserve"> </w:t>
            </w:r>
            <w:r w:rsidR="00134682">
              <w:rPr>
                <w:rFonts w:ascii="Calibri"/>
                <w:b/>
              </w:rPr>
              <w:t>Injectable</w:t>
            </w:r>
            <w:r w:rsidR="00134682">
              <w:rPr>
                <w:rFonts w:ascii="Calibri"/>
                <w:b/>
                <w:spacing w:val="-47"/>
              </w:rPr>
              <w:t xml:space="preserve"> </w:t>
            </w:r>
            <w:r w:rsidR="00134682">
              <w:rPr>
                <w:rFonts w:ascii="Calibri"/>
                <w:b/>
              </w:rPr>
              <w:t>Code</w:t>
            </w:r>
            <w:r w:rsidR="00134682">
              <w:rPr>
                <w:rFonts w:ascii="Calibri"/>
                <w:b/>
                <w:spacing w:val="1"/>
              </w:rPr>
              <w:t xml:space="preserve"> </w:t>
            </w:r>
            <w:r w:rsidR="00134682">
              <w:rPr>
                <w:rFonts w:ascii="Calibri"/>
                <w:b/>
              </w:rPr>
              <w:t>PMPM</w:t>
            </w:r>
          </w:p>
        </w:tc>
        <w:tc>
          <w:tcPr>
            <w:tcW w:w="1234" w:type="dxa"/>
            <w:tcBorders>
              <w:left w:val="single" w:sz="4" w:space="0" w:color="000000"/>
            </w:tcBorders>
          </w:tcPr>
          <w:p w14:paraId="4AF6537A" w14:textId="77777777" w:rsidR="00134682" w:rsidRDefault="00134682" w:rsidP="00C766AA">
            <w:pPr>
              <w:pStyle w:val="TableParagraph"/>
              <w:ind w:left="105" w:right="165"/>
              <w:rPr>
                <w:rFonts w:ascii="Calibri"/>
                <w:b/>
              </w:rPr>
            </w:pPr>
            <w:r>
              <w:rPr>
                <w:rFonts w:ascii="Calibri"/>
                <w:b/>
              </w:rPr>
              <w:t>Total High</w:t>
            </w:r>
            <w:r>
              <w:rPr>
                <w:rFonts w:ascii="Calibri"/>
                <w:b/>
                <w:spacing w:val="-47"/>
              </w:rPr>
              <w:t xml:space="preserve"> </w:t>
            </w:r>
            <w:r>
              <w:rPr>
                <w:rFonts w:ascii="Calibri"/>
                <w:b/>
              </w:rPr>
              <w:t>Cost</w:t>
            </w:r>
            <w:r>
              <w:rPr>
                <w:rFonts w:ascii="Calibri"/>
                <w:b/>
                <w:spacing w:val="1"/>
              </w:rPr>
              <w:t xml:space="preserve"> </w:t>
            </w:r>
            <w:r>
              <w:rPr>
                <w:rFonts w:ascii="Calibri"/>
                <w:b/>
              </w:rPr>
              <w:t>PMPM</w:t>
            </w:r>
            <w:r>
              <w:rPr>
                <w:rFonts w:ascii="Calibri"/>
                <w:b/>
                <w:spacing w:val="1"/>
              </w:rPr>
              <w:t xml:space="preserve"> </w:t>
            </w:r>
            <w:r>
              <w:rPr>
                <w:rFonts w:ascii="Calibri"/>
                <w:b/>
              </w:rPr>
              <w:t>(GPI+J</w:t>
            </w:r>
          </w:p>
          <w:p w14:paraId="66ED5957" w14:textId="77777777" w:rsidR="00134682" w:rsidRDefault="00134682" w:rsidP="00C766AA">
            <w:pPr>
              <w:pStyle w:val="TableParagraph"/>
              <w:spacing w:line="244" w:lineRule="exact"/>
              <w:ind w:left="105"/>
              <w:rPr>
                <w:rFonts w:ascii="Calibri"/>
                <w:b/>
              </w:rPr>
            </w:pPr>
            <w:r>
              <w:rPr>
                <w:rFonts w:ascii="Calibri"/>
                <w:b/>
              </w:rPr>
              <w:t>Code)</w:t>
            </w:r>
          </w:p>
        </w:tc>
        <w:tc>
          <w:tcPr>
            <w:tcW w:w="1233" w:type="dxa"/>
          </w:tcPr>
          <w:p w14:paraId="3A895FA2" w14:textId="77777777" w:rsidR="00134682" w:rsidRDefault="00134682" w:rsidP="00C766AA">
            <w:pPr>
              <w:pStyle w:val="TableParagraph"/>
              <w:ind w:left="102" w:right="127"/>
              <w:jc w:val="both"/>
              <w:rPr>
                <w:rFonts w:ascii="Calibri"/>
                <w:b/>
              </w:rPr>
            </w:pPr>
            <w:r>
              <w:rPr>
                <w:rFonts w:ascii="Calibri"/>
                <w:b/>
              </w:rPr>
              <w:t>Illustrative</w:t>
            </w:r>
            <w:r>
              <w:rPr>
                <w:rFonts w:ascii="Calibri"/>
                <w:b/>
                <w:spacing w:val="-48"/>
              </w:rPr>
              <w:t xml:space="preserve"> </w:t>
            </w:r>
            <w:r>
              <w:rPr>
                <w:rFonts w:ascii="Calibri"/>
                <w:b/>
              </w:rPr>
              <w:t>Projection</w:t>
            </w:r>
            <w:r>
              <w:rPr>
                <w:rFonts w:ascii="Calibri"/>
                <w:b/>
                <w:spacing w:val="1"/>
              </w:rPr>
              <w:t xml:space="preserve"> </w:t>
            </w:r>
            <w:r>
              <w:rPr>
                <w:rFonts w:ascii="Calibri"/>
                <w:b/>
              </w:rPr>
              <w:t>Factor</w:t>
            </w:r>
          </w:p>
        </w:tc>
        <w:tc>
          <w:tcPr>
            <w:tcW w:w="1233" w:type="dxa"/>
            <w:tcBorders>
              <w:right w:val="single" w:sz="4" w:space="0" w:color="000000"/>
            </w:tcBorders>
          </w:tcPr>
          <w:p w14:paraId="43269B73" w14:textId="77777777" w:rsidR="00134682" w:rsidRDefault="00134682" w:rsidP="00C766AA">
            <w:pPr>
              <w:pStyle w:val="TableParagraph"/>
              <w:ind w:left="101" w:right="221"/>
              <w:rPr>
                <w:rFonts w:ascii="Calibri"/>
                <w:b/>
              </w:rPr>
            </w:pPr>
            <w:r>
              <w:rPr>
                <w:rFonts w:ascii="Calibri"/>
                <w:b/>
              </w:rPr>
              <w:t>Projected</w:t>
            </w:r>
            <w:r>
              <w:rPr>
                <w:rFonts w:ascii="Calibri"/>
                <w:b/>
                <w:spacing w:val="-47"/>
              </w:rPr>
              <w:t xml:space="preserve"> </w:t>
            </w:r>
            <w:r>
              <w:rPr>
                <w:rFonts w:ascii="Calibri"/>
                <w:b/>
              </w:rPr>
              <w:t>to</w:t>
            </w:r>
            <w:r>
              <w:rPr>
                <w:rFonts w:ascii="Calibri"/>
                <w:b/>
                <w:spacing w:val="-2"/>
              </w:rPr>
              <w:t xml:space="preserve"> </w:t>
            </w:r>
            <w:r>
              <w:rPr>
                <w:rFonts w:ascii="Calibri"/>
                <w:b/>
              </w:rPr>
              <w:t>CY20</w:t>
            </w:r>
          </w:p>
        </w:tc>
      </w:tr>
      <w:tr w:rsidR="00134682" w14:paraId="255CE7B3" w14:textId="77777777" w:rsidTr="00C766AA">
        <w:trPr>
          <w:trHeight w:val="263"/>
        </w:trPr>
        <w:tc>
          <w:tcPr>
            <w:tcW w:w="1234" w:type="dxa"/>
            <w:tcBorders>
              <w:left w:val="single" w:sz="4" w:space="0" w:color="000000"/>
            </w:tcBorders>
          </w:tcPr>
          <w:p w14:paraId="49D23FE0" w14:textId="77777777" w:rsidR="00134682" w:rsidRDefault="00134682" w:rsidP="00C766AA">
            <w:pPr>
              <w:pStyle w:val="TableParagraph"/>
              <w:spacing w:line="243" w:lineRule="exact"/>
              <w:ind w:left="107"/>
              <w:rPr>
                <w:rFonts w:ascii="Calibri"/>
                <w:b/>
              </w:rPr>
            </w:pPr>
            <w:r>
              <w:rPr>
                <w:rFonts w:ascii="Calibri"/>
                <w:b/>
              </w:rPr>
              <w:t>1</w:t>
            </w:r>
          </w:p>
        </w:tc>
        <w:tc>
          <w:tcPr>
            <w:tcW w:w="1233" w:type="dxa"/>
          </w:tcPr>
          <w:p w14:paraId="21E93FC1" w14:textId="77777777" w:rsidR="00134682" w:rsidRDefault="00134682" w:rsidP="00C766AA">
            <w:pPr>
              <w:pStyle w:val="TableParagraph"/>
              <w:spacing w:line="243" w:lineRule="exact"/>
              <w:ind w:left="104"/>
              <w:rPr>
                <w:rFonts w:ascii="Calibri"/>
              </w:rPr>
            </w:pPr>
            <w:r>
              <w:rPr>
                <w:rFonts w:ascii="Calibri"/>
              </w:rPr>
              <w:t>50,000</w:t>
            </w:r>
          </w:p>
        </w:tc>
        <w:tc>
          <w:tcPr>
            <w:tcW w:w="1233" w:type="dxa"/>
            <w:tcBorders>
              <w:right w:val="single" w:sz="4" w:space="0" w:color="000000"/>
            </w:tcBorders>
          </w:tcPr>
          <w:p w14:paraId="0C3F9E9E" w14:textId="77777777" w:rsidR="00134682" w:rsidRDefault="00134682" w:rsidP="00C766AA">
            <w:pPr>
              <w:pStyle w:val="TableParagraph"/>
              <w:spacing w:line="243" w:lineRule="exact"/>
              <w:ind w:left="103"/>
              <w:rPr>
                <w:rFonts w:ascii="Calibri"/>
                <w:i/>
              </w:rPr>
            </w:pPr>
            <w:r>
              <w:rPr>
                <w:rFonts w:ascii="Calibri"/>
                <w:i/>
              </w:rPr>
              <w:t>$0.00</w:t>
            </w:r>
          </w:p>
        </w:tc>
        <w:tc>
          <w:tcPr>
            <w:tcW w:w="1234" w:type="dxa"/>
            <w:tcBorders>
              <w:left w:val="single" w:sz="4" w:space="0" w:color="000000"/>
              <w:right w:val="single" w:sz="4" w:space="0" w:color="000000"/>
            </w:tcBorders>
          </w:tcPr>
          <w:p w14:paraId="7FB4BC28" w14:textId="77777777" w:rsidR="00134682" w:rsidRDefault="00134682" w:rsidP="00C766AA">
            <w:pPr>
              <w:pStyle w:val="TableParagraph"/>
              <w:spacing w:line="243" w:lineRule="exact"/>
              <w:ind w:left="106"/>
              <w:rPr>
                <w:rFonts w:ascii="Calibri"/>
                <w:i/>
              </w:rPr>
            </w:pPr>
            <w:r>
              <w:rPr>
                <w:rFonts w:ascii="Calibri"/>
                <w:i/>
              </w:rPr>
              <w:t>$0.00</w:t>
            </w:r>
          </w:p>
        </w:tc>
        <w:tc>
          <w:tcPr>
            <w:tcW w:w="1234" w:type="dxa"/>
            <w:tcBorders>
              <w:left w:val="single" w:sz="4" w:space="0" w:color="000000"/>
            </w:tcBorders>
          </w:tcPr>
          <w:p w14:paraId="53A3438A" w14:textId="77777777" w:rsidR="00134682" w:rsidRDefault="00134682" w:rsidP="00C766AA">
            <w:pPr>
              <w:pStyle w:val="TableParagraph"/>
              <w:spacing w:line="243" w:lineRule="exact"/>
              <w:ind w:left="105"/>
              <w:rPr>
                <w:rFonts w:ascii="Calibri"/>
              </w:rPr>
            </w:pPr>
            <w:r>
              <w:rPr>
                <w:rFonts w:ascii="Calibri"/>
              </w:rPr>
              <w:t>$0.00</w:t>
            </w:r>
          </w:p>
        </w:tc>
        <w:tc>
          <w:tcPr>
            <w:tcW w:w="1233" w:type="dxa"/>
          </w:tcPr>
          <w:p w14:paraId="3962EC76" w14:textId="77777777" w:rsidR="00134682" w:rsidRDefault="00134682" w:rsidP="00C766AA">
            <w:pPr>
              <w:pStyle w:val="TableParagraph"/>
              <w:spacing w:line="243" w:lineRule="exact"/>
              <w:ind w:left="102"/>
              <w:rPr>
                <w:rFonts w:ascii="Calibri"/>
              </w:rPr>
            </w:pPr>
            <w:r>
              <w:rPr>
                <w:rFonts w:ascii="Calibri"/>
              </w:rPr>
              <w:t>-</w:t>
            </w:r>
          </w:p>
        </w:tc>
        <w:tc>
          <w:tcPr>
            <w:tcW w:w="1233" w:type="dxa"/>
            <w:tcBorders>
              <w:right w:val="single" w:sz="4" w:space="0" w:color="000000"/>
            </w:tcBorders>
          </w:tcPr>
          <w:p w14:paraId="231630DA" w14:textId="77777777" w:rsidR="00134682" w:rsidRDefault="00134682" w:rsidP="00C766AA">
            <w:pPr>
              <w:pStyle w:val="TableParagraph"/>
              <w:spacing w:line="243" w:lineRule="exact"/>
              <w:ind w:left="101"/>
              <w:rPr>
                <w:rFonts w:ascii="Calibri"/>
              </w:rPr>
            </w:pPr>
            <w:r>
              <w:rPr>
                <w:rFonts w:ascii="Calibri"/>
              </w:rPr>
              <w:t>$0.00</w:t>
            </w:r>
          </w:p>
        </w:tc>
      </w:tr>
      <w:tr w:rsidR="00134682" w14:paraId="7B2FF1F9" w14:textId="77777777" w:rsidTr="00C766AA">
        <w:trPr>
          <w:trHeight w:val="265"/>
        </w:trPr>
        <w:tc>
          <w:tcPr>
            <w:tcW w:w="1234" w:type="dxa"/>
            <w:tcBorders>
              <w:left w:val="single" w:sz="4" w:space="0" w:color="000000"/>
            </w:tcBorders>
          </w:tcPr>
          <w:p w14:paraId="783182F5" w14:textId="77777777" w:rsidR="00134682" w:rsidRDefault="00134682" w:rsidP="00C766AA">
            <w:pPr>
              <w:pStyle w:val="TableParagraph"/>
              <w:spacing w:line="246" w:lineRule="exact"/>
              <w:ind w:left="107"/>
              <w:rPr>
                <w:rFonts w:ascii="Calibri"/>
                <w:b/>
              </w:rPr>
            </w:pPr>
            <w:r>
              <w:rPr>
                <w:rFonts w:ascii="Calibri"/>
                <w:b/>
              </w:rPr>
              <w:t>2</w:t>
            </w:r>
          </w:p>
        </w:tc>
        <w:tc>
          <w:tcPr>
            <w:tcW w:w="1233" w:type="dxa"/>
          </w:tcPr>
          <w:p w14:paraId="1E79F568" w14:textId="77777777" w:rsidR="00134682" w:rsidRDefault="00134682" w:rsidP="00C766AA">
            <w:pPr>
              <w:pStyle w:val="TableParagraph"/>
              <w:spacing w:line="246" w:lineRule="exact"/>
              <w:ind w:left="104"/>
              <w:rPr>
                <w:rFonts w:ascii="Calibri"/>
              </w:rPr>
            </w:pPr>
            <w:r>
              <w:rPr>
                <w:rFonts w:ascii="Calibri"/>
              </w:rPr>
              <w:t>150,000</w:t>
            </w:r>
          </w:p>
        </w:tc>
        <w:tc>
          <w:tcPr>
            <w:tcW w:w="1233" w:type="dxa"/>
            <w:tcBorders>
              <w:right w:val="single" w:sz="4" w:space="0" w:color="000000"/>
            </w:tcBorders>
          </w:tcPr>
          <w:p w14:paraId="47C848C2" w14:textId="77777777" w:rsidR="00134682" w:rsidRDefault="00134682" w:rsidP="00C766AA">
            <w:pPr>
              <w:pStyle w:val="TableParagraph"/>
              <w:spacing w:line="246" w:lineRule="exact"/>
              <w:ind w:left="103"/>
              <w:rPr>
                <w:rFonts w:ascii="Calibri"/>
                <w:i/>
              </w:rPr>
            </w:pPr>
            <w:r>
              <w:rPr>
                <w:rFonts w:ascii="Calibri"/>
                <w:i/>
              </w:rPr>
              <w:t>$8.00</w:t>
            </w:r>
          </w:p>
        </w:tc>
        <w:tc>
          <w:tcPr>
            <w:tcW w:w="1234" w:type="dxa"/>
            <w:tcBorders>
              <w:left w:val="single" w:sz="4" w:space="0" w:color="000000"/>
              <w:right w:val="single" w:sz="4" w:space="0" w:color="000000"/>
            </w:tcBorders>
          </w:tcPr>
          <w:p w14:paraId="699C1A3C" w14:textId="77777777" w:rsidR="00134682" w:rsidRDefault="00134682" w:rsidP="00C766AA">
            <w:pPr>
              <w:pStyle w:val="TableParagraph"/>
              <w:spacing w:line="246" w:lineRule="exact"/>
              <w:ind w:left="106"/>
              <w:rPr>
                <w:rFonts w:ascii="Calibri"/>
                <w:i/>
              </w:rPr>
            </w:pPr>
            <w:r>
              <w:rPr>
                <w:rFonts w:ascii="Calibri"/>
                <w:i/>
              </w:rPr>
              <w:t>$2.00</w:t>
            </w:r>
          </w:p>
        </w:tc>
        <w:tc>
          <w:tcPr>
            <w:tcW w:w="1234" w:type="dxa"/>
            <w:tcBorders>
              <w:left w:val="single" w:sz="4" w:space="0" w:color="000000"/>
            </w:tcBorders>
          </w:tcPr>
          <w:p w14:paraId="24A74EE2" w14:textId="77777777" w:rsidR="00134682" w:rsidRDefault="00134682" w:rsidP="00C766AA">
            <w:pPr>
              <w:pStyle w:val="TableParagraph"/>
              <w:spacing w:line="246" w:lineRule="exact"/>
              <w:ind w:left="105"/>
              <w:rPr>
                <w:rFonts w:ascii="Calibri"/>
              </w:rPr>
            </w:pPr>
            <w:r>
              <w:rPr>
                <w:rFonts w:ascii="Calibri"/>
              </w:rPr>
              <w:t>$10.00</w:t>
            </w:r>
          </w:p>
        </w:tc>
        <w:tc>
          <w:tcPr>
            <w:tcW w:w="1233" w:type="dxa"/>
          </w:tcPr>
          <w:p w14:paraId="4189FAD6" w14:textId="77777777" w:rsidR="00134682" w:rsidRDefault="00134682" w:rsidP="00C766AA">
            <w:pPr>
              <w:pStyle w:val="TableParagraph"/>
              <w:spacing w:line="246" w:lineRule="exact"/>
              <w:ind w:left="103"/>
              <w:rPr>
                <w:rFonts w:ascii="Calibri"/>
              </w:rPr>
            </w:pPr>
            <w:r>
              <w:rPr>
                <w:rFonts w:ascii="Calibri"/>
              </w:rPr>
              <w:t>1.15</w:t>
            </w:r>
          </w:p>
        </w:tc>
        <w:tc>
          <w:tcPr>
            <w:tcW w:w="1233" w:type="dxa"/>
            <w:tcBorders>
              <w:right w:val="single" w:sz="4" w:space="0" w:color="000000"/>
            </w:tcBorders>
          </w:tcPr>
          <w:p w14:paraId="6568A933" w14:textId="77777777" w:rsidR="00134682" w:rsidRDefault="00134682" w:rsidP="00C766AA">
            <w:pPr>
              <w:pStyle w:val="TableParagraph"/>
              <w:spacing w:line="246" w:lineRule="exact"/>
              <w:ind w:left="100"/>
              <w:rPr>
                <w:rFonts w:ascii="Calibri"/>
              </w:rPr>
            </w:pPr>
            <w:r>
              <w:rPr>
                <w:rFonts w:ascii="Calibri"/>
              </w:rPr>
              <w:t>$11.50</w:t>
            </w:r>
          </w:p>
        </w:tc>
      </w:tr>
      <w:tr w:rsidR="00134682" w14:paraId="0EEC2042" w14:textId="77777777" w:rsidTr="00C766AA">
        <w:trPr>
          <w:trHeight w:val="263"/>
        </w:trPr>
        <w:tc>
          <w:tcPr>
            <w:tcW w:w="1234" w:type="dxa"/>
            <w:tcBorders>
              <w:left w:val="single" w:sz="4" w:space="0" w:color="000000"/>
            </w:tcBorders>
          </w:tcPr>
          <w:p w14:paraId="7962E599" w14:textId="77777777" w:rsidR="00134682" w:rsidRDefault="00134682" w:rsidP="00C766AA">
            <w:pPr>
              <w:pStyle w:val="TableParagraph"/>
              <w:spacing w:line="243" w:lineRule="exact"/>
              <w:ind w:left="107"/>
              <w:rPr>
                <w:rFonts w:ascii="Calibri"/>
                <w:b/>
              </w:rPr>
            </w:pPr>
            <w:r>
              <w:rPr>
                <w:rFonts w:ascii="Calibri"/>
                <w:b/>
              </w:rPr>
              <w:t>3</w:t>
            </w:r>
          </w:p>
        </w:tc>
        <w:tc>
          <w:tcPr>
            <w:tcW w:w="1233" w:type="dxa"/>
          </w:tcPr>
          <w:p w14:paraId="620F206E" w14:textId="77777777" w:rsidR="00134682" w:rsidRDefault="00134682" w:rsidP="00C766AA">
            <w:pPr>
              <w:pStyle w:val="TableParagraph"/>
              <w:spacing w:line="243" w:lineRule="exact"/>
              <w:ind w:left="104"/>
              <w:rPr>
                <w:rFonts w:ascii="Calibri"/>
              </w:rPr>
            </w:pPr>
            <w:r>
              <w:rPr>
                <w:rFonts w:ascii="Calibri"/>
              </w:rPr>
              <w:t>250,000</w:t>
            </w:r>
          </w:p>
        </w:tc>
        <w:tc>
          <w:tcPr>
            <w:tcW w:w="1233" w:type="dxa"/>
            <w:tcBorders>
              <w:right w:val="single" w:sz="4" w:space="0" w:color="000000"/>
            </w:tcBorders>
          </w:tcPr>
          <w:p w14:paraId="795C13EB" w14:textId="77777777" w:rsidR="00134682" w:rsidRDefault="00134682" w:rsidP="00C766AA">
            <w:pPr>
              <w:pStyle w:val="TableParagraph"/>
              <w:spacing w:line="243" w:lineRule="exact"/>
              <w:ind w:left="103"/>
              <w:rPr>
                <w:rFonts w:ascii="Calibri"/>
                <w:i/>
              </w:rPr>
            </w:pPr>
            <w:r>
              <w:rPr>
                <w:rFonts w:ascii="Calibri"/>
                <w:i/>
              </w:rPr>
              <w:t>$15.00</w:t>
            </w:r>
          </w:p>
        </w:tc>
        <w:tc>
          <w:tcPr>
            <w:tcW w:w="1234" w:type="dxa"/>
            <w:tcBorders>
              <w:left w:val="single" w:sz="4" w:space="0" w:color="000000"/>
              <w:right w:val="single" w:sz="4" w:space="0" w:color="000000"/>
            </w:tcBorders>
          </w:tcPr>
          <w:p w14:paraId="5C751727" w14:textId="77777777" w:rsidR="00134682" w:rsidRDefault="00134682" w:rsidP="00C766AA">
            <w:pPr>
              <w:pStyle w:val="TableParagraph"/>
              <w:spacing w:line="243" w:lineRule="exact"/>
              <w:ind w:left="106"/>
              <w:rPr>
                <w:rFonts w:ascii="Calibri"/>
                <w:i/>
              </w:rPr>
            </w:pPr>
            <w:r>
              <w:rPr>
                <w:rFonts w:ascii="Calibri"/>
                <w:i/>
              </w:rPr>
              <w:t>$5.00</w:t>
            </w:r>
          </w:p>
        </w:tc>
        <w:tc>
          <w:tcPr>
            <w:tcW w:w="1234" w:type="dxa"/>
            <w:tcBorders>
              <w:left w:val="single" w:sz="4" w:space="0" w:color="000000"/>
            </w:tcBorders>
          </w:tcPr>
          <w:p w14:paraId="13062BE1" w14:textId="77777777" w:rsidR="00134682" w:rsidRDefault="00134682" w:rsidP="00C766AA">
            <w:pPr>
              <w:pStyle w:val="TableParagraph"/>
              <w:spacing w:line="243" w:lineRule="exact"/>
              <w:ind w:left="105"/>
              <w:rPr>
                <w:rFonts w:ascii="Calibri"/>
              </w:rPr>
            </w:pPr>
            <w:r>
              <w:rPr>
                <w:rFonts w:ascii="Calibri"/>
              </w:rPr>
              <w:t>$20.00</w:t>
            </w:r>
          </w:p>
        </w:tc>
        <w:tc>
          <w:tcPr>
            <w:tcW w:w="1233" w:type="dxa"/>
          </w:tcPr>
          <w:p w14:paraId="6ECE221D" w14:textId="77777777" w:rsidR="00134682" w:rsidRDefault="00134682" w:rsidP="00C766AA">
            <w:pPr>
              <w:pStyle w:val="TableParagraph"/>
              <w:spacing w:line="243" w:lineRule="exact"/>
              <w:ind w:left="103"/>
              <w:rPr>
                <w:rFonts w:ascii="Calibri"/>
              </w:rPr>
            </w:pPr>
            <w:r>
              <w:rPr>
                <w:rFonts w:ascii="Calibri"/>
              </w:rPr>
              <w:t>1.15</w:t>
            </w:r>
          </w:p>
        </w:tc>
        <w:tc>
          <w:tcPr>
            <w:tcW w:w="1233" w:type="dxa"/>
            <w:tcBorders>
              <w:right w:val="single" w:sz="4" w:space="0" w:color="000000"/>
            </w:tcBorders>
          </w:tcPr>
          <w:p w14:paraId="74FFA865" w14:textId="77777777" w:rsidR="00134682" w:rsidRDefault="00134682" w:rsidP="00C766AA">
            <w:pPr>
              <w:pStyle w:val="TableParagraph"/>
              <w:spacing w:line="243" w:lineRule="exact"/>
              <w:ind w:left="100"/>
              <w:rPr>
                <w:rFonts w:ascii="Calibri"/>
              </w:rPr>
            </w:pPr>
            <w:r>
              <w:rPr>
                <w:rFonts w:ascii="Calibri"/>
              </w:rPr>
              <w:t>$23.00</w:t>
            </w:r>
          </w:p>
        </w:tc>
      </w:tr>
    </w:tbl>
    <w:p w14:paraId="2E356B1B" w14:textId="77777777" w:rsidR="00F96C1D" w:rsidRDefault="00F96C1D" w:rsidP="00134682">
      <w:pPr>
        <w:pStyle w:val="BodyText"/>
        <w:spacing w:before="39"/>
        <w:ind w:left="960" w:right="961"/>
        <w:rPr>
          <w:rFonts w:ascii="Calibri"/>
        </w:rPr>
      </w:pPr>
    </w:p>
    <w:p w14:paraId="37BC6F12" w14:textId="2373D815" w:rsidR="00134682" w:rsidRDefault="00134682" w:rsidP="00134682">
      <w:pPr>
        <w:pStyle w:val="BodyText"/>
        <w:spacing w:before="39"/>
        <w:ind w:left="960" w:right="961"/>
        <w:rPr>
          <w:rFonts w:ascii="Calibri"/>
        </w:rPr>
      </w:pPr>
      <w:r>
        <w:rPr>
          <w:rFonts w:ascii="Calibri"/>
        </w:rPr>
        <w:t>Once COA and Regional PMPM projections are established, these PMPMs are converted to MCO-specific</w:t>
      </w:r>
      <w:r>
        <w:rPr>
          <w:rFonts w:ascii="Calibri"/>
          <w:spacing w:val="-47"/>
        </w:rPr>
        <w:t xml:space="preserve"> </w:t>
      </w:r>
      <w:r>
        <w:rPr>
          <w:rFonts w:ascii="Calibri"/>
        </w:rPr>
        <w:t xml:space="preserve">PMPMs. MCO-specific PMPMs are calculated using the </w:t>
      </w:r>
      <w:proofErr w:type="spellStart"/>
      <w:r>
        <w:rPr>
          <w:rFonts w:ascii="Calibri"/>
        </w:rPr>
        <w:t>CDPS+Rx</w:t>
      </w:r>
      <w:proofErr w:type="spellEnd"/>
      <w:r>
        <w:rPr>
          <w:rFonts w:ascii="Calibri"/>
        </w:rPr>
        <w:t xml:space="preserve"> prospective risk score applicable to the</w:t>
      </w:r>
      <w:r>
        <w:rPr>
          <w:rFonts w:ascii="Calibri"/>
          <w:spacing w:val="1"/>
        </w:rPr>
        <w:t xml:space="preserve"> </w:t>
      </w:r>
      <w:r>
        <w:rPr>
          <w:rFonts w:ascii="Calibri"/>
        </w:rPr>
        <w:t>CY21 Heritage</w:t>
      </w:r>
      <w:r>
        <w:rPr>
          <w:rFonts w:ascii="Calibri"/>
          <w:spacing w:val="1"/>
        </w:rPr>
        <w:t xml:space="preserve"> </w:t>
      </w:r>
      <w:r>
        <w:rPr>
          <w:rFonts w:ascii="Calibri"/>
        </w:rPr>
        <w:t>Health</w:t>
      </w:r>
      <w:r>
        <w:rPr>
          <w:rFonts w:ascii="Calibri"/>
          <w:spacing w:val="-1"/>
        </w:rPr>
        <w:t xml:space="preserve"> </w:t>
      </w:r>
      <w:r>
        <w:rPr>
          <w:rFonts w:ascii="Calibri"/>
        </w:rPr>
        <w:t>capitation</w:t>
      </w:r>
      <w:r>
        <w:rPr>
          <w:rFonts w:ascii="Calibri"/>
          <w:spacing w:val="-1"/>
        </w:rPr>
        <w:t xml:space="preserve"> </w:t>
      </w:r>
      <w:r>
        <w:rPr>
          <w:rFonts w:ascii="Calibri"/>
        </w:rPr>
        <w:t>rates.</w:t>
      </w:r>
    </w:p>
    <w:p w14:paraId="52FDE72B" w14:textId="77777777" w:rsidR="00134682" w:rsidRDefault="00134682" w:rsidP="00134682">
      <w:pPr>
        <w:pStyle w:val="BodyText"/>
        <w:rPr>
          <w:rFonts w:ascii="Calibri"/>
          <w:sz w:val="20"/>
        </w:rPr>
      </w:pPr>
    </w:p>
    <w:p w14:paraId="719A5075" w14:textId="77777777" w:rsidR="00134682" w:rsidRDefault="00134682" w:rsidP="00134682">
      <w:pPr>
        <w:pStyle w:val="BodyText"/>
        <w:spacing w:before="11" w:after="1"/>
        <w:rPr>
          <w:rFonts w:ascii="Calibri"/>
          <w:sz w:val="24"/>
        </w:rPr>
      </w:pPr>
    </w:p>
    <w:tbl>
      <w:tblPr>
        <w:tblW w:w="0" w:type="auto"/>
        <w:tblInd w:w="198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222"/>
        <w:gridCol w:w="1221"/>
        <w:gridCol w:w="1225"/>
        <w:gridCol w:w="1220"/>
        <w:gridCol w:w="1224"/>
        <w:gridCol w:w="1223"/>
      </w:tblGrid>
      <w:tr w:rsidR="00134682" w14:paraId="6F2E95F7" w14:textId="77777777" w:rsidTr="00C766AA">
        <w:trPr>
          <w:trHeight w:val="267"/>
        </w:trPr>
        <w:tc>
          <w:tcPr>
            <w:tcW w:w="2443" w:type="dxa"/>
            <w:gridSpan w:val="2"/>
            <w:tcBorders>
              <w:bottom w:val="single" w:sz="4" w:space="0" w:color="000000"/>
            </w:tcBorders>
          </w:tcPr>
          <w:p w14:paraId="480D91AA" w14:textId="77777777" w:rsidR="00134682" w:rsidRDefault="00134682" w:rsidP="00C766AA">
            <w:pPr>
              <w:pStyle w:val="TableParagraph"/>
              <w:rPr>
                <w:rFonts w:ascii="Times New Roman"/>
                <w:sz w:val="18"/>
              </w:rPr>
            </w:pPr>
          </w:p>
        </w:tc>
        <w:tc>
          <w:tcPr>
            <w:tcW w:w="2445" w:type="dxa"/>
            <w:gridSpan w:val="2"/>
            <w:tcBorders>
              <w:bottom w:val="single" w:sz="4" w:space="0" w:color="000000"/>
            </w:tcBorders>
          </w:tcPr>
          <w:p w14:paraId="4B99F5A8" w14:textId="77777777" w:rsidR="00134682" w:rsidRDefault="00134682" w:rsidP="00C766AA">
            <w:pPr>
              <w:pStyle w:val="TableParagraph"/>
              <w:spacing w:line="247" w:lineRule="exact"/>
              <w:ind w:left="107"/>
              <w:rPr>
                <w:rFonts w:ascii="Calibri"/>
                <w:b/>
              </w:rPr>
            </w:pPr>
            <w:r>
              <w:rPr>
                <w:rFonts w:ascii="Calibri"/>
                <w:b/>
              </w:rPr>
              <w:t>MCO</w:t>
            </w:r>
            <w:r>
              <w:rPr>
                <w:rFonts w:ascii="Calibri"/>
                <w:b/>
                <w:spacing w:val="-1"/>
              </w:rPr>
              <w:t xml:space="preserve"> </w:t>
            </w:r>
            <w:r>
              <w:rPr>
                <w:rFonts w:ascii="Calibri"/>
                <w:b/>
              </w:rPr>
              <w:t>A</w:t>
            </w:r>
          </w:p>
        </w:tc>
        <w:tc>
          <w:tcPr>
            <w:tcW w:w="2447" w:type="dxa"/>
            <w:gridSpan w:val="2"/>
            <w:tcBorders>
              <w:bottom w:val="single" w:sz="4" w:space="0" w:color="000000"/>
            </w:tcBorders>
          </w:tcPr>
          <w:p w14:paraId="6C721222" w14:textId="77777777" w:rsidR="00134682" w:rsidRDefault="00134682" w:rsidP="00C766AA">
            <w:pPr>
              <w:pStyle w:val="TableParagraph"/>
              <w:spacing w:line="247" w:lineRule="exact"/>
              <w:ind w:left="107"/>
              <w:rPr>
                <w:rFonts w:ascii="Calibri"/>
                <w:b/>
              </w:rPr>
            </w:pPr>
            <w:r>
              <w:rPr>
                <w:rFonts w:ascii="Calibri"/>
                <w:b/>
              </w:rPr>
              <w:t>MCO</w:t>
            </w:r>
            <w:r>
              <w:rPr>
                <w:rFonts w:ascii="Calibri"/>
                <w:b/>
                <w:spacing w:val="-1"/>
              </w:rPr>
              <w:t xml:space="preserve"> </w:t>
            </w:r>
            <w:r>
              <w:rPr>
                <w:rFonts w:ascii="Calibri"/>
                <w:b/>
              </w:rPr>
              <w:t>B</w:t>
            </w:r>
          </w:p>
        </w:tc>
      </w:tr>
      <w:tr w:rsidR="00134682" w14:paraId="070525E1" w14:textId="77777777" w:rsidTr="00C766AA">
        <w:trPr>
          <w:trHeight w:val="803"/>
        </w:trPr>
        <w:tc>
          <w:tcPr>
            <w:tcW w:w="1222" w:type="dxa"/>
            <w:tcBorders>
              <w:top w:val="single" w:sz="4" w:space="0" w:color="000000"/>
              <w:bottom w:val="single" w:sz="4" w:space="0" w:color="000000"/>
              <w:right w:val="single" w:sz="4" w:space="0" w:color="000000"/>
            </w:tcBorders>
          </w:tcPr>
          <w:p w14:paraId="693C090F" w14:textId="77777777" w:rsidR="00134682" w:rsidRDefault="00134682" w:rsidP="00C766AA">
            <w:pPr>
              <w:pStyle w:val="TableParagraph"/>
              <w:spacing w:line="268" w:lineRule="exact"/>
              <w:ind w:left="107"/>
              <w:rPr>
                <w:rFonts w:ascii="Calibri"/>
                <w:b/>
              </w:rPr>
            </w:pPr>
            <w:r>
              <w:rPr>
                <w:rFonts w:ascii="Calibri"/>
                <w:b/>
              </w:rPr>
              <w:t>COA</w:t>
            </w:r>
          </w:p>
        </w:tc>
        <w:tc>
          <w:tcPr>
            <w:tcW w:w="1221" w:type="dxa"/>
            <w:tcBorders>
              <w:top w:val="single" w:sz="4" w:space="0" w:color="000000"/>
              <w:left w:val="single" w:sz="4" w:space="0" w:color="000000"/>
              <w:bottom w:val="single" w:sz="4" w:space="0" w:color="000000"/>
            </w:tcBorders>
          </w:tcPr>
          <w:p w14:paraId="3F3466AE" w14:textId="77777777" w:rsidR="00134682" w:rsidRDefault="00134682" w:rsidP="00C766AA">
            <w:pPr>
              <w:pStyle w:val="TableParagraph"/>
              <w:ind w:left="109" w:right="156"/>
              <w:rPr>
                <w:rFonts w:ascii="Calibri"/>
                <w:b/>
              </w:rPr>
            </w:pPr>
            <w:r>
              <w:rPr>
                <w:rFonts w:ascii="Calibri"/>
                <w:b/>
              </w:rPr>
              <w:t>Statewide</w:t>
            </w:r>
            <w:r>
              <w:rPr>
                <w:rFonts w:ascii="Calibri"/>
                <w:b/>
                <w:spacing w:val="-47"/>
              </w:rPr>
              <w:t xml:space="preserve"> </w:t>
            </w:r>
            <w:r>
              <w:rPr>
                <w:rFonts w:ascii="Calibri"/>
                <w:b/>
              </w:rPr>
              <w:t>Projected</w:t>
            </w:r>
          </w:p>
          <w:p w14:paraId="58540012" w14:textId="77777777" w:rsidR="00134682" w:rsidRDefault="00134682" w:rsidP="00C766AA">
            <w:pPr>
              <w:pStyle w:val="TableParagraph"/>
              <w:spacing w:line="247" w:lineRule="exact"/>
              <w:ind w:left="109"/>
              <w:rPr>
                <w:rFonts w:ascii="Calibri"/>
                <w:b/>
              </w:rPr>
            </w:pPr>
            <w:r>
              <w:rPr>
                <w:rFonts w:ascii="Calibri"/>
                <w:b/>
              </w:rPr>
              <w:t>to</w:t>
            </w:r>
            <w:r>
              <w:rPr>
                <w:rFonts w:ascii="Calibri"/>
                <w:b/>
                <w:spacing w:val="-2"/>
              </w:rPr>
              <w:t xml:space="preserve"> </w:t>
            </w:r>
            <w:r>
              <w:rPr>
                <w:rFonts w:ascii="Calibri"/>
                <w:b/>
              </w:rPr>
              <w:t>CY20</w:t>
            </w:r>
          </w:p>
        </w:tc>
        <w:tc>
          <w:tcPr>
            <w:tcW w:w="1225" w:type="dxa"/>
            <w:tcBorders>
              <w:top w:val="single" w:sz="4" w:space="0" w:color="000000"/>
              <w:bottom w:val="single" w:sz="4" w:space="0" w:color="000000"/>
            </w:tcBorders>
          </w:tcPr>
          <w:p w14:paraId="29938ABB" w14:textId="77777777" w:rsidR="00134682" w:rsidRDefault="00134682" w:rsidP="00C766AA">
            <w:pPr>
              <w:pStyle w:val="TableParagraph"/>
              <w:spacing w:line="268" w:lineRule="exact"/>
              <w:ind w:left="107"/>
              <w:rPr>
                <w:rFonts w:ascii="Calibri"/>
                <w:b/>
              </w:rPr>
            </w:pPr>
            <w:r>
              <w:rPr>
                <w:rFonts w:ascii="Calibri"/>
                <w:b/>
              </w:rPr>
              <w:t>Risk</w:t>
            </w:r>
            <w:r>
              <w:rPr>
                <w:rFonts w:ascii="Calibri"/>
                <w:b/>
                <w:spacing w:val="-3"/>
              </w:rPr>
              <w:t xml:space="preserve"> </w:t>
            </w:r>
            <w:r>
              <w:rPr>
                <w:rFonts w:ascii="Calibri"/>
                <w:b/>
              </w:rPr>
              <w:t>Score</w:t>
            </w:r>
          </w:p>
        </w:tc>
        <w:tc>
          <w:tcPr>
            <w:tcW w:w="1220" w:type="dxa"/>
            <w:tcBorders>
              <w:top w:val="single" w:sz="4" w:space="0" w:color="000000"/>
              <w:bottom w:val="single" w:sz="4" w:space="0" w:color="000000"/>
            </w:tcBorders>
          </w:tcPr>
          <w:p w14:paraId="1C3DF9C2" w14:textId="77777777" w:rsidR="00134682" w:rsidRDefault="00134682" w:rsidP="00C766AA">
            <w:pPr>
              <w:pStyle w:val="TableParagraph"/>
              <w:spacing w:line="268" w:lineRule="exact"/>
              <w:ind w:left="104"/>
              <w:rPr>
                <w:rFonts w:ascii="Calibri"/>
                <w:b/>
              </w:rPr>
            </w:pPr>
            <w:r>
              <w:rPr>
                <w:rFonts w:ascii="Calibri"/>
                <w:b/>
              </w:rPr>
              <w:t>MCO-</w:t>
            </w:r>
          </w:p>
          <w:p w14:paraId="10A34871" w14:textId="77777777" w:rsidR="00134682" w:rsidRDefault="00134682" w:rsidP="00C766AA">
            <w:pPr>
              <w:pStyle w:val="TableParagraph"/>
              <w:spacing w:line="267" w:lineRule="exact"/>
              <w:ind w:left="104"/>
              <w:rPr>
                <w:rFonts w:ascii="Calibri"/>
                <w:b/>
              </w:rPr>
            </w:pPr>
            <w:r>
              <w:rPr>
                <w:rFonts w:ascii="Calibri"/>
                <w:b/>
              </w:rPr>
              <w:t>Specific</w:t>
            </w:r>
          </w:p>
          <w:p w14:paraId="631EDD08" w14:textId="77777777" w:rsidR="00134682" w:rsidRDefault="00134682" w:rsidP="00C766AA">
            <w:pPr>
              <w:pStyle w:val="TableParagraph"/>
              <w:spacing w:line="248" w:lineRule="exact"/>
              <w:ind w:left="104"/>
              <w:rPr>
                <w:rFonts w:ascii="Calibri"/>
                <w:b/>
              </w:rPr>
            </w:pPr>
            <w:r>
              <w:rPr>
                <w:rFonts w:ascii="Calibri"/>
                <w:b/>
              </w:rPr>
              <w:t>PMPM</w:t>
            </w:r>
          </w:p>
        </w:tc>
        <w:tc>
          <w:tcPr>
            <w:tcW w:w="1224" w:type="dxa"/>
            <w:tcBorders>
              <w:top w:val="single" w:sz="4" w:space="0" w:color="000000"/>
              <w:bottom w:val="single" w:sz="4" w:space="0" w:color="000000"/>
              <w:right w:val="single" w:sz="4" w:space="0" w:color="000000"/>
            </w:tcBorders>
          </w:tcPr>
          <w:p w14:paraId="32126EC6" w14:textId="77777777" w:rsidR="00134682" w:rsidRDefault="00134682" w:rsidP="00C766AA">
            <w:pPr>
              <w:pStyle w:val="TableParagraph"/>
              <w:spacing w:line="268" w:lineRule="exact"/>
              <w:ind w:left="106"/>
              <w:rPr>
                <w:rFonts w:ascii="Calibri"/>
                <w:b/>
              </w:rPr>
            </w:pPr>
            <w:r>
              <w:rPr>
                <w:rFonts w:ascii="Calibri"/>
                <w:b/>
              </w:rPr>
              <w:t>Risk</w:t>
            </w:r>
            <w:r>
              <w:rPr>
                <w:rFonts w:ascii="Calibri"/>
                <w:b/>
                <w:spacing w:val="-3"/>
              </w:rPr>
              <w:t xml:space="preserve"> </w:t>
            </w:r>
            <w:r>
              <w:rPr>
                <w:rFonts w:ascii="Calibri"/>
                <w:b/>
              </w:rPr>
              <w:t>Score</w:t>
            </w:r>
          </w:p>
        </w:tc>
        <w:tc>
          <w:tcPr>
            <w:tcW w:w="1223" w:type="dxa"/>
            <w:tcBorders>
              <w:top w:val="single" w:sz="4" w:space="0" w:color="000000"/>
              <w:left w:val="single" w:sz="4" w:space="0" w:color="000000"/>
              <w:bottom w:val="single" w:sz="4" w:space="0" w:color="000000"/>
            </w:tcBorders>
          </w:tcPr>
          <w:p w14:paraId="083066DE" w14:textId="77777777" w:rsidR="00134682" w:rsidRDefault="00134682" w:rsidP="00C766AA">
            <w:pPr>
              <w:pStyle w:val="TableParagraph"/>
              <w:spacing w:line="268" w:lineRule="exact"/>
              <w:ind w:left="106"/>
              <w:rPr>
                <w:rFonts w:ascii="Calibri"/>
                <w:b/>
              </w:rPr>
            </w:pPr>
            <w:r>
              <w:rPr>
                <w:rFonts w:ascii="Calibri"/>
                <w:b/>
              </w:rPr>
              <w:t>MCO-</w:t>
            </w:r>
          </w:p>
          <w:p w14:paraId="43E70A52" w14:textId="77777777" w:rsidR="00134682" w:rsidRDefault="00134682" w:rsidP="00C766AA">
            <w:pPr>
              <w:pStyle w:val="TableParagraph"/>
              <w:spacing w:line="267" w:lineRule="exact"/>
              <w:ind w:left="106"/>
              <w:rPr>
                <w:rFonts w:ascii="Calibri"/>
                <w:b/>
              </w:rPr>
            </w:pPr>
            <w:r>
              <w:rPr>
                <w:rFonts w:ascii="Calibri"/>
                <w:b/>
              </w:rPr>
              <w:t>Specific</w:t>
            </w:r>
          </w:p>
          <w:p w14:paraId="1183C40F" w14:textId="77777777" w:rsidR="00134682" w:rsidRDefault="00134682" w:rsidP="00C766AA">
            <w:pPr>
              <w:pStyle w:val="TableParagraph"/>
              <w:spacing w:line="248" w:lineRule="exact"/>
              <w:ind w:left="106"/>
              <w:rPr>
                <w:rFonts w:ascii="Calibri"/>
                <w:b/>
              </w:rPr>
            </w:pPr>
            <w:r>
              <w:rPr>
                <w:rFonts w:ascii="Calibri"/>
                <w:b/>
              </w:rPr>
              <w:t>PMPM</w:t>
            </w:r>
          </w:p>
        </w:tc>
      </w:tr>
      <w:tr w:rsidR="00134682" w14:paraId="5F175C97" w14:textId="77777777" w:rsidTr="00C766AA">
        <w:trPr>
          <w:trHeight w:val="267"/>
        </w:trPr>
        <w:tc>
          <w:tcPr>
            <w:tcW w:w="1222" w:type="dxa"/>
            <w:tcBorders>
              <w:top w:val="single" w:sz="4" w:space="0" w:color="000000"/>
              <w:right w:val="single" w:sz="4" w:space="0" w:color="000000"/>
            </w:tcBorders>
          </w:tcPr>
          <w:p w14:paraId="6B8AE594" w14:textId="77777777" w:rsidR="00134682" w:rsidRDefault="00134682" w:rsidP="00C766AA">
            <w:pPr>
              <w:pStyle w:val="TableParagraph"/>
              <w:spacing w:before="1" w:line="246" w:lineRule="exact"/>
              <w:ind w:left="107"/>
              <w:rPr>
                <w:rFonts w:ascii="Calibri"/>
                <w:b/>
              </w:rPr>
            </w:pPr>
            <w:r>
              <w:rPr>
                <w:rFonts w:ascii="Calibri"/>
                <w:b/>
              </w:rPr>
              <w:t>1</w:t>
            </w:r>
          </w:p>
        </w:tc>
        <w:tc>
          <w:tcPr>
            <w:tcW w:w="1221" w:type="dxa"/>
            <w:tcBorders>
              <w:top w:val="single" w:sz="4" w:space="0" w:color="000000"/>
              <w:left w:val="single" w:sz="4" w:space="0" w:color="000000"/>
            </w:tcBorders>
          </w:tcPr>
          <w:p w14:paraId="4A964B7C" w14:textId="77777777" w:rsidR="00134682" w:rsidRDefault="00134682" w:rsidP="00C766AA">
            <w:pPr>
              <w:pStyle w:val="TableParagraph"/>
              <w:spacing w:before="1" w:line="246" w:lineRule="exact"/>
              <w:ind w:left="108"/>
              <w:rPr>
                <w:rFonts w:ascii="Calibri"/>
              </w:rPr>
            </w:pPr>
            <w:r>
              <w:rPr>
                <w:rFonts w:ascii="Calibri"/>
              </w:rPr>
              <w:t>$0.00</w:t>
            </w:r>
          </w:p>
        </w:tc>
        <w:tc>
          <w:tcPr>
            <w:tcW w:w="1225" w:type="dxa"/>
            <w:tcBorders>
              <w:top w:val="single" w:sz="4" w:space="0" w:color="000000"/>
            </w:tcBorders>
          </w:tcPr>
          <w:p w14:paraId="02DAC378" w14:textId="77777777" w:rsidR="00134682" w:rsidRDefault="00134682" w:rsidP="00C766AA">
            <w:pPr>
              <w:pStyle w:val="TableParagraph"/>
              <w:spacing w:before="1" w:line="246" w:lineRule="exact"/>
              <w:ind w:left="108"/>
              <w:rPr>
                <w:rFonts w:ascii="Calibri"/>
              </w:rPr>
            </w:pPr>
            <w:r>
              <w:rPr>
                <w:rFonts w:ascii="Calibri"/>
              </w:rPr>
              <w:t>1.00</w:t>
            </w:r>
          </w:p>
        </w:tc>
        <w:tc>
          <w:tcPr>
            <w:tcW w:w="1220" w:type="dxa"/>
            <w:tcBorders>
              <w:top w:val="single" w:sz="4" w:space="0" w:color="000000"/>
            </w:tcBorders>
          </w:tcPr>
          <w:p w14:paraId="1D8989E5" w14:textId="77777777" w:rsidR="00134682" w:rsidRDefault="00134682" w:rsidP="00C766AA">
            <w:pPr>
              <w:pStyle w:val="TableParagraph"/>
              <w:spacing w:before="1" w:line="246" w:lineRule="exact"/>
              <w:ind w:left="104"/>
              <w:rPr>
                <w:rFonts w:ascii="Calibri"/>
              </w:rPr>
            </w:pPr>
            <w:r>
              <w:rPr>
                <w:rFonts w:ascii="Calibri"/>
              </w:rPr>
              <w:t>$0.00</w:t>
            </w:r>
          </w:p>
        </w:tc>
        <w:tc>
          <w:tcPr>
            <w:tcW w:w="1224" w:type="dxa"/>
            <w:tcBorders>
              <w:top w:val="single" w:sz="4" w:space="0" w:color="000000"/>
              <w:right w:val="single" w:sz="4" w:space="0" w:color="000000"/>
            </w:tcBorders>
          </w:tcPr>
          <w:p w14:paraId="407BCB9E" w14:textId="77777777" w:rsidR="00134682" w:rsidRDefault="00134682" w:rsidP="00C766AA">
            <w:pPr>
              <w:pStyle w:val="TableParagraph"/>
              <w:spacing w:before="1" w:line="246" w:lineRule="exact"/>
              <w:ind w:left="105"/>
              <w:rPr>
                <w:rFonts w:ascii="Calibri"/>
              </w:rPr>
            </w:pPr>
            <w:r>
              <w:rPr>
                <w:rFonts w:ascii="Calibri"/>
              </w:rPr>
              <w:t>1.00</w:t>
            </w:r>
          </w:p>
        </w:tc>
        <w:tc>
          <w:tcPr>
            <w:tcW w:w="1223" w:type="dxa"/>
            <w:tcBorders>
              <w:top w:val="single" w:sz="4" w:space="0" w:color="000000"/>
              <w:left w:val="single" w:sz="4" w:space="0" w:color="000000"/>
            </w:tcBorders>
          </w:tcPr>
          <w:p w14:paraId="683F4A6E" w14:textId="77777777" w:rsidR="00134682" w:rsidRDefault="00134682" w:rsidP="00C766AA">
            <w:pPr>
              <w:pStyle w:val="TableParagraph"/>
              <w:spacing w:before="1" w:line="246" w:lineRule="exact"/>
              <w:ind w:left="107"/>
              <w:rPr>
                <w:rFonts w:ascii="Calibri"/>
              </w:rPr>
            </w:pPr>
            <w:r>
              <w:rPr>
                <w:rFonts w:ascii="Calibri"/>
              </w:rPr>
              <w:t>$0.00</w:t>
            </w:r>
          </w:p>
        </w:tc>
      </w:tr>
      <w:tr w:rsidR="00134682" w14:paraId="03A0AD78" w14:textId="77777777" w:rsidTr="00C766AA">
        <w:trPr>
          <w:trHeight w:val="267"/>
        </w:trPr>
        <w:tc>
          <w:tcPr>
            <w:tcW w:w="1222" w:type="dxa"/>
            <w:tcBorders>
              <w:bottom w:val="single" w:sz="4" w:space="0" w:color="000000"/>
              <w:right w:val="single" w:sz="4" w:space="0" w:color="000000"/>
            </w:tcBorders>
          </w:tcPr>
          <w:p w14:paraId="1E47E5A6" w14:textId="77777777" w:rsidR="00134682" w:rsidRDefault="00134682" w:rsidP="00C766AA">
            <w:pPr>
              <w:pStyle w:val="TableParagraph"/>
              <w:spacing w:line="247" w:lineRule="exact"/>
              <w:ind w:left="107"/>
              <w:rPr>
                <w:rFonts w:ascii="Calibri"/>
                <w:b/>
              </w:rPr>
            </w:pPr>
            <w:r>
              <w:rPr>
                <w:rFonts w:ascii="Calibri"/>
                <w:b/>
              </w:rPr>
              <w:t>2</w:t>
            </w:r>
          </w:p>
        </w:tc>
        <w:tc>
          <w:tcPr>
            <w:tcW w:w="1221" w:type="dxa"/>
            <w:tcBorders>
              <w:left w:val="single" w:sz="4" w:space="0" w:color="000000"/>
              <w:bottom w:val="single" w:sz="4" w:space="0" w:color="000000"/>
            </w:tcBorders>
          </w:tcPr>
          <w:p w14:paraId="4741CE25" w14:textId="77777777" w:rsidR="00134682" w:rsidRDefault="00134682" w:rsidP="00C766AA">
            <w:pPr>
              <w:pStyle w:val="TableParagraph"/>
              <w:spacing w:line="247" w:lineRule="exact"/>
              <w:ind w:left="108"/>
              <w:rPr>
                <w:rFonts w:ascii="Calibri"/>
              </w:rPr>
            </w:pPr>
            <w:r>
              <w:rPr>
                <w:rFonts w:ascii="Calibri"/>
              </w:rPr>
              <w:t>$11.50</w:t>
            </w:r>
          </w:p>
        </w:tc>
        <w:tc>
          <w:tcPr>
            <w:tcW w:w="1225" w:type="dxa"/>
            <w:tcBorders>
              <w:bottom w:val="single" w:sz="4" w:space="0" w:color="000000"/>
            </w:tcBorders>
          </w:tcPr>
          <w:p w14:paraId="428E4E2A" w14:textId="77777777" w:rsidR="00134682" w:rsidRDefault="00134682" w:rsidP="00C766AA">
            <w:pPr>
              <w:pStyle w:val="TableParagraph"/>
              <w:spacing w:line="247" w:lineRule="exact"/>
              <w:ind w:left="108"/>
              <w:rPr>
                <w:rFonts w:ascii="Calibri"/>
              </w:rPr>
            </w:pPr>
            <w:r>
              <w:rPr>
                <w:rFonts w:ascii="Calibri"/>
              </w:rPr>
              <w:t>1.10</w:t>
            </w:r>
          </w:p>
        </w:tc>
        <w:tc>
          <w:tcPr>
            <w:tcW w:w="1220" w:type="dxa"/>
            <w:tcBorders>
              <w:bottom w:val="single" w:sz="4" w:space="0" w:color="000000"/>
            </w:tcBorders>
          </w:tcPr>
          <w:p w14:paraId="68596A3C" w14:textId="77777777" w:rsidR="00134682" w:rsidRDefault="00134682" w:rsidP="00C766AA">
            <w:pPr>
              <w:pStyle w:val="TableParagraph"/>
              <w:spacing w:line="247" w:lineRule="exact"/>
              <w:ind w:left="104"/>
              <w:rPr>
                <w:rFonts w:ascii="Calibri"/>
              </w:rPr>
            </w:pPr>
            <w:r>
              <w:rPr>
                <w:rFonts w:ascii="Calibri"/>
              </w:rPr>
              <w:t>$12.65</w:t>
            </w:r>
          </w:p>
        </w:tc>
        <w:tc>
          <w:tcPr>
            <w:tcW w:w="1224" w:type="dxa"/>
            <w:tcBorders>
              <w:bottom w:val="single" w:sz="4" w:space="0" w:color="000000"/>
              <w:right w:val="single" w:sz="4" w:space="0" w:color="000000"/>
            </w:tcBorders>
          </w:tcPr>
          <w:p w14:paraId="494D7CDA" w14:textId="77777777" w:rsidR="00134682" w:rsidRDefault="00134682" w:rsidP="00C766AA">
            <w:pPr>
              <w:pStyle w:val="TableParagraph"/>
              <w:spacing w:line="247" w:lineRule="exact"/>
              <w:ind w:left="105"/>
              <w:rPr>
                <w:rFonts w:ascii="Calibri"/>
              </w:rPr>
            </w:pPr>
            <w:r>
              <w:rPr>
                <w:rFonts w:ascii="Calibri"/>
              </w:rPr>
              <w:t>0.90</w:t>
            </w:r>
          </w:p>
        </w:tc>
        <w:tc>
          <w:tcPr>
            <w:tcW w:w="1223" w:type="dxa"/>
            <w:tcBorders>
              <w:left w:val="single" w:sz="4" w:space="0" w:color="000000"/>
              <w:bottom w:val="single" w:sz="4" w:space="0" w:color="000000"/>
            </w:tcBorders>
          </w:tcPr>
          <w:p w14:paraId="3CBB971B" w14:textId="77777777" w:rsidR="00134682" w:rsidRDefault="00134682" w:rsidP="00C766AA">
            <w:pPr>
              <w:pStyle w:val="TableParagraph"/>
              <w:spacing w:line="247" w:lineRule="exact"/>
              <w:ind w:left="107"/>
              <w:rPr>
                <w:rFonts w:ascii="Calibri"/>
              </w:rPr>
            </w:pPr>
            <w:r>
              <w:rPr>
                <w:rFonts w:ascii="Calibri"/>
              </w:rPr>
              <w:t>$10.35</w:t>
            </w:r>
          </w:p>
        </w:tc>
      </w:tr>
      <w:tr w:rsidR="00134682" w14:paraId="1AE648C9" w14:textId="77777777" w:rsidTr="00C766AA">
        <w:trPr>
          <w:trHeight w:val="264"/>
        </w:trPr>
        <w:tc>
          <w:tcPr>
            <w:tcW w:w="1222" w:type="dxa"/>
            <w:tcBorders>
              <w:top w:val="single" w:sz="4" w:space="0" w:color="000000"/>
              <w:right w:val="single" w:sz="4" w:space="0" w:color="000000"/>
            </w:tcBorders>
          </w:tcPr>
          <w:p w14:paraId="462B9315" w14:textId="77777777" w:rsidR="00134682" w:rsidRDefault="00134682" w:rsidP="00C766AA">
            <w:pPr>
              <w:pStyle w:val="TableParagraph"/>
              <w:spacing w:line="245" w:lineRule="exact"/>
              <w:ind w:left="107"/>
              <w:rPr>
                <w:rFonts w:ascii="Calibri"/>
                <w:b/>
              </w:rPr>
            </w:pPr>
            <w:r>
              <w:rPr>
                <w:rFonts w:ascii="Calibri"/>
                <w:b/>
              </w:rPr>
              <w:t>3</w:t>
            </w:r>
          </w:p>
        </w:tc>
        <w:tc>
          <w:tcPr>
            <w:tcW w:w="1221" w:type="dxa"/>
            <w:tcBorders>
              <w:top w:val="single" w:sz="4" w:space="0" w:color="000000"/>
              <w:left w:val="single" w:sz="4" w:space="0" w:color="000000"/>
            </w:tcBorders>
          </w:tcPr>
          <w:p w14:paraId="10B67934" w14:textId="77777777" w:rsidR="00134682" w:rsidRDefault="00134682" w:rsidP="00C766AA">
            <w:pPr>
              <w:pStyle w:val="TableParagraph"/>
              <w:spacing w:line="245" w:lineRule="exact"/>
              <w:ind w:left="109"/>
              <w:rPr>
                <w:rFonts w:ascii="Calibri"/>
              </w:rPr>
            </w:pPr>
            <w:r>
              <w:rPr>
                <w:rFonts w:ascii="Calibri"/>
              </w:rPr>
              <w:t>$23.00</w:t>
            </w:r>
          </w:p>
        </w:tc>
        <w:tc>
          <w:tcPr>
            <w:tcW w:w="1225" w:type="dxa"/>
            <w:tcBorders>
              <w:top w:val="single" w:sz="4" w:space="0" w:color="000000"/>
            </w:tcBorders>
          </w:tcPr>
          <w:p w14:paraId="43547AEF" w14:textId="77777777" w:rsidR="00134682" w:rsidRDefault="00134682" w:rsidP="00C766AA">
            <w:pPr>
              <w:pStyle w:val="TableParagraph"/>
              <w:spacing w:line="245" w:lineRule="exact"/>
              <w:ind w:left="107"/>
              <w:rPr>
                <w:rFonts w:ascii="Calibri"/>
              </w:rPr>
            </w:pPr>
            <w:r>
              <w:rPr>
                <w:rFonts w:ascii="Calibri"/>
              </w:rPr>
              <w:t>0.95</w:t>
            </w:r>
          </w:p>
        </w:tc>
        <w:tc>
          <w:tcPr>
            <w:tcW w:w="1220" w:type="dxa"/>
            <w:tcBorders>
              <w:top w:val="single" w:sz="4" w:space="0" w:color="000000"/>
            </w:tcBorders>
          </w:tcPr>
          <w:p w14:paraId="1AFD01C3" w14:textId="77777777" w:rsidR="00134682" w:rsidRDefault="00134682" w:rsidP="00C766AA">
            <w:pPr>
              <w:pStyle w:val="TableParagraph"/>
              <w:spacing w:line="245" w:lineRule="exact"/>
              <w:ind w:left="104"/>
              <w:rPr>
                <w:rFonts w:ascii="Calibri"/>
              </w:rPr>
            </w:pPr>
            <w:r>
              <w:rPr>
                <w:rFonts w:ascii="Calibri"/>
              </w:rPr>
              <w:t>$21.85</w:t>
            </w:r>
          </w:p>
        </w:tc>
        <w:tc>
          <w:tcPr>
            <w:tcW w:w="1224" w:type="dxa"/>
            <w:tcBorders>
              <w:top w:val="single" w:sz="4" w:space="0" w:color="000000"/>
              <w:right w:val="single" w:sz="4" w:space="0" w:color="000000"/>
            </w:tcBorders>
          </w:tcPr>
          <w:p w14:paraId="77394EA2" w14:textId="77777777" w:rsidR="00134682" w:rsidRDefault="00134682" w:rsidP="00C766AA">
            <w:pPr>
              <w:pStyle w:val="TableParagraph"/>
              <w:spacing w:line="245" w:lineRule="exact"/>
              <w:ind w:left="106"/>
              <w:rPr>
                <w:rFonts w:ascii="Calibri"/>
              </w:rPr>
            </w:pPr>
            <w:r>
              <w:rPr>
                <w:rFonts w:ascii="Calibri"/>
              </w:rPr>
              <w:t>1.05</w:t>
            </w:r>
          </w:p>
        </w:tc>
        <w:tc>
          <w:tcPr>
            <w:tcW w:w="1223" w:type="dxa"/>
            <w:tcBorders>
              <w:top w:val="single" w:sz="4" w:space="0" w:color="000000"/>
              <w:left w:val="single" w:sz="4" w:space="0" w:color="000000"/>
            </w:tcBorders>
          </w:tcPr>
          <w:p w14:paraId="6C8A90EA" w14:textId="77777777" w:rsidR="00134682" w:rsidRDefault="00134682" w:rsidP="00C766AA">
            <w:pPr>
              <w:pStyle w:val="TableParagraph"/>
              <w:spacing w:line="245" w:lineRule="exact"/>
              <w:ind w:left="106"/>
              <w:rPr>
                <w:rFonts w:ascii="Calibri"/>
              </w:rPr>
            </w:pPr>
            <w:r>
              <w:rPr>
                <w:rFonts w:ascii="Calibri"/>
              </w:rPr>
              <w:t>$24.15</w:t>
            </w:r>
          </w:p>
        </w:tc>
      </w:tr>
    </w:tbl>
    <w:p w14:paraId="0F831087" w14:textId="77777777" w:rsidR="00134682" w:rsidRDefault="00134682" w:rsidP="00134682">
      <w:pPr>
        <w:pStyle w:val="BodyText"/>
        <w:spacing w:before="3"/>
        <w:rPr>
          <w:rFonts w:ascii="Calibri"/>
          <w:sz w:val="17"/>
        </w:rPr>
      </w:pPr>
    </w:p>
    <w:p w14:paraId="321DC5CA" w14:textId="77777777" w:rsidR="00134682" w:rsidRDefault="00134682" w:rsidP="00134682">
      <w:pPr>
        <w:spacing w:before="56"/>
        <w:ind w:left="960"/>
        <w:jc w:val="both"/>
        <w:rPr>
          <w:rFonts w:ascii="Calibri"/>
          <w:i/>
        </w:rPr>
      </w:pPr>
      <w:r>
        <w:rPr>
          <w:rFonts w:ascii="Calibri"/>
          <w:i/>
        </w:rPr>
        <w:t>Experience</w:t>
      </w:r>
      <w:r>
        <w:rPr>
          <w:rFonts w:ascii="Calibri"/>
          <w:i/>
          <w:spacing w:val="-4"/>
        </w:rPr>
        <w:t xml:space="preserve"> </w:t>
      </w:r>
      <w:r>
        <w:rPr>
          <w:rFonts w:ascii="Calibri"/>
          <w:i/>
        </w:rPr>
        <w:t>Period</w:t>
      </w:r>
      <w:r>
        <w:rPr>
          <w:rFonts w:ascii="Calibri"/>
          <w:i/>
          <w:spacing w:val="-3"/>
        </w:rPr>
        <w:t xml:space="preserve"> </w:t>
      </w:r>
      <w:r>
        <w:rPr>
          <w:rFonts w:ascii="Calibri"/>
          <w:i/>
        </w:rPr>
        <w:t>Reconciliation</w:t>
      </w:r>
    </w:p>
    <w:p w14:paraId="3B399972" w14:textId="77777777" w:rsidR="00134682" w:rsidRDefault="00134682" w:rsidP="00134682">
      <w:pPr>
        <w:pStyle w:val="BodyText"/>
        <w:spacing w:before="10"/>
        <w:rPr>
          <w:rFonts w:ascii="Calibri"/>
          <w:i/>
          <w:sz w:val="21"/>
        </w:rPr>
      </w:pPr>
    </w:p>
    <w:p w14:paraId="2BC073B2" w14:textId="5EB446C1" w:rsidR="00134682" w:rsidRPr="00F73335" w:rsidRDefault="00134682" w:rsidP="00134682">
      <w:pPr>
        <w:pStyle w:val="BodyText"/>
        <w:ind w:left="960" w:right="1314"/>
        <w:jc w:val="both"/>
        <w:rPr>
          <w:rFonts w:ascii="Calibri"/>
          <w:spacing w:val="-47"/>
        </w:rPr>
      </w:pPr>
      <w:r>
        <w:rPr>
          <w:rFonts w:ascii="Calibri"/>
        </w:rPr>
        <w:t xml:space="preserve">Once the CY22 contract period ends, a reconciliation will occur between MCOs to the extent that </w:t>
      </w:r>
      <w:proofErr w:type="gramStart"/>
      <w:r>
        <w:rPr>
          <w:rFonts w:ascii="Calibri"/>
        </w:rPr>
        <w:t xml:space="preserve">the </w:t>
      </w:r>
      <w:r>
        <w:rPr>
          <w:rFonts w:ascii="Calibri"/>
          <w:spacing w:val="-48"/>
        </w:rPr>
        <w:t xml:space="preserve"> </w:t>
      </w:r>
      <w:r>
        <w:rPr>
          <w:rFonts w:ascii="Calibri"/>
        </w:rPr>
        <w:t>distribution</w:t>
      </w:r>
      <w:proofErr w:type="gramEnd"/>
      <w:r>
        <w:rPr>
          <w:rFonts w:ascii="Calibri"/>
        </w:rPr>
        <w:t xml:space="preserve"> of </w:t>
      </w:r>
      <w:r w:rsidR="00406B5D">
        <w:rPr>
          <w:rFonts w:ascii="Calibri"/>
        </w:rPr>
        <w:t>high-cost</w:t>
      </w:r>
      <w:r>
        <w:rPr>
          <w:rFonts w:ascii="Calibri"/>
        </w:rPr>
        <w:t xml:space="preserve"> drugs between MCOs is different than the distribution projected by the rate</w:t>
      </w:r>
      <w:r>
        <w:rPr>
          <w:rFonts w:ascii="Calibri"/>
          <w:spacing w:val="-47"/>
        </w:rPr>
        <w:t xml:space="preserve">        </w:t>
      </w:r>
      <w:r>
        <w:rPr>
          <w:rFonts w:ascii="Calibri"/>
        </w:rPr>
        <w:t>development</w:t>
      </w:r>
      <w:r>
        <w:rPr>
          <w:rFonts w:ascii="Calibri"/>
          <w:spacing w:val="1"/>
        </w:rPr>
        <w:t xml:space="preserve"> </w:t>
      </w:r>
      <w:r>
        <w:rPr>
          <w:rFonts w:ascii="Calibri"/>
        </w:rPr>
        <w:t>process.</w:t>
      </w:r>
    </w:p>
    <w:p w14:paraId="11233FDF" w14:textId="77777777" w:rsidR="00134682" w:rsidRDefault="00134682" w:rsidP="00134682">
      <w:pPr>
        <w:pStyle w:val="BodyText"/>
        <w:spacing w:before="1"/>
        <w:rPr>
          <w:rFonts w:ascii="Calibri"/>
        </w:rPr>
      </w:pPr>
    </w:p>
    <w:p w14:paraId="1055F713" w14:textId="77777777" w:rsidR="00134682" w:rsidRDefault="00134682" w:rsidP="00134682">
      <w:pPr>
        <w:pStyle w:val="BodyText"/>
        <w:ind w:left="960" w:right="1471"/>
        <w:rPr>
          <w:rFonts w:ascii="Calibri" w:hAnsi="Calibri"/>
        </w:rPr>
      </w:pPr>
      <w:r>
        <w:rPr>
          <w:rFonts w:ascii="Calibri" w:hAnsi="Calibri"/>
        </w:rPr>
        <w:lastRenderedPageBreak/>
        <w:t>A total pool of dollars will be calculated after the end of the CY22 contract period. This pool will be</w:t>
      </w:r>
      <w:r>
        <w:rPr>
          <w:rFonts w:ascii="Calibri" w:hAnsi="Calibri"/>
          <w:spacing w:val="-47"/>
        </w:rPr>
        <w:t xml:space="preserve"> </w:t>
      </w:r>
      <w:r>
        <w:rPr>
          <w:rFonts w:ascii="Calibri" w:hAnsi="Calibri"/>
        </w:rPr>
        <w:t>calculated based on the total CY20 member months and the MCO-specific PMPMs described in the</w:t>
      </w:r>
      <w:r>
        <w:rPr>
          <w:rFonts w:ascii="Calibri" w:hAnsi="Calibri"/>
          <w:spacing w:val="-47"/>
        </w:rPr>
        <w:t xml:space="preserve"> </w:t>
      </w:r>
      <w:r>
        <w:rPr>
          <w:rFonts w:ascii="Calibri" w:hAnsi="Calibri"/>
        </w:rPr>
        <w:t>“Establish Benchmarks” section above. Once this pool is established, dollars may be added to or</w:t>
      </w:r>
      <w:r>
        <w:rPr>
          <w:rFonts w:ascii="Calibri" w:hAnsi="Calibri"/>
          <w:spacing w:val="1"/>
        </w:rPr>
        <w:t xml:space="preserve"> </w:t>
      </w:r>
      <w:r>
        <w:rPr>
          <w:rFonts w:ascii="Calibri" w:hAnsi="Calibri"/>
        </w:rPr>
        <w:t>subtracted</w:t>
      </w:r>
      <w:r>
        <w:rPr>
          <w:rFonts w:ascii="Calibri" w:hAnsi="Calibri"/>
          <w:spacing w:val="-2"/>
        </w:rPr>
        <w:t xml:space="preserve"> </w:t>
      </w:r>
      <w:r>
        <w:rPr>
          <w:rFonts w:ascii="Calibri" w:hAnsi="Calibri"/>
        </w:rPr>
        <w:t>from</w:t>
      </w:r>
      <w:r>
        <w:rPr>
          <w:rFonts w:ascii="Calibri" w:hAnsi="Calibri"/>
          <w:spacing w:val="1"/>
        </w:rPr>
        <w:t xml:space="preserve"> </w:t>
      </w:r>
      <w:r>
        <w:rPr>
          <w:rFonts w:ascii="Calibri" w:hAnsi="Calibri"/>
        </w:rPr>
        <w:t>the pool,</w:t>
      </w:r>
      <w:r>
        <w:rPr>
          <w:rFonts w:ascii="Calibri" w:hAnsi="Calibri"/>
          <w:spacing w:val="-2"/>
        </w:rPr>
        <w:t xml:space="preserve"> </w:t>
      </w:r>
      <w:r>
        <w:rPr>
          <w:rFonts w:ascii="Calibri" w:hAnsi="Calibri"/>
        </w:rPr>
        <w:t>as</w:t>
      </w:r>
      <w:r>
        <w:rPr>
          <w:rFonts w:ascii="Calibri" w:hAnsi="Calibri"/>
          <w:spacing w:val="-1"/>
        </w:rPr>
        <w:t xml:space="preserve"> </w:t>
      </w:r>
      <w:r>
        <w:rPr>
          <w:rFonts w:ascii="Calibri" w:hAnsi="Calibri"/>
        </w:rPr>
        <w:t>a</w:t>
      </w:r>
      <w:r>
        <w:rPr>
          <w:rFonts w:ascii="Calibri" w:hAnsi="Calibri"/>
          <w:spacing w:val="1"/>
        </w:rPr>
        <w:t xml:space="preserve"> </w:t>
      </w:r>
      <w:r>
        <w:rPr>
          <w:rFonts w:ascii="Calibri" w:hAnsi="Calibri"/>
        </w:rPr>
        <w:t>result</w:t>
      </w:r>
      <w:r>
        <w:rPr>
          <w:rFonts w:ascii="Calibri" w:hAnsi="Calibri"/>
          <w:spacing w:val="1"/>
        </w:rPr>
        <w:t xml:space="preserve"> </w:t>
      </w:r>
      <w:r>
        <w:rPr>
          <w:rFonts w:ascii="Calibri" w:hAnsi="Calibri"/>
        </w:rPr>
        <w:t>of</w:t>
      </w:r>
      <w:r>
        <w:rPr>
          <w:rFonts w:ascii="Calibri" w:hAnsi="Calibri"/>
          <w:spacing w:val="-3"/>
        </w:rPr>
        <w:t xml:space="preserve"> </w:t>
      </w:r>
      <w:r>
        <w:rPr>
          <w:rFonts w:ascii="Calibri" w:hAnsi="Calibri"/>
        </w:rPr>
        <w:t>the</w:t>
      </w:r>
      <w:r>
        <w:rPr>
          <w:rFonts w:ascii="Calibri" w:hAnsi="Calibri"/>
          <w:spacing w:val="-2"/>
        </w:rPr>
        <w:t xml:space="preserve"> </w:t>
      </w:r>
      <w:r>
        <w:rPr>
          <w:rFonts w:ascii="Calibri" w:hAnsi="Calibri"/>
        </w:rPr>
        <w:t>risk</w:t>
      </w:r>
      <w:r>
        <w:rPr>
          <w:rFonts w:ascii="Calibri" w:hAnsi="Calibri"/>
          <w:spacing w:val="-3"/>
        </w:rPr>
        <w:t xml:space="preserve"> </w:t>
      </w:r>
      <w:r>
        <w:rPr>
          <w:rFonts w:ascii="Calibri" w:hAnsi="Calibri"/>
        </w:rPr>
        <w:t>corridor</w:t>
      </w:r>
      <w:r>
        <w:rPr>
          <w:rFonts w:ascii="Calibri" w:hAnsi="Calibri"/>
          <w:spacing w:val="-1"/>
        </w:rPr>
        <w:t xml:space="preserve"> </w:t>
      </w:r>
      <w:r>
        <w:rPr>
          <w:rFonts w:ascii="Calibri" w:hAnsi="Calibri"/>
        </w:rPr>
        <w:t>that</w:t>
      </w:r>
      <w:r>
        <w:rPr>
          <w:rFonts w:ascii="Calibri" w:hAnsi="Calibri"/>
          <w:spacing w:val="-4"/>
        </w:rPr>
        <w:t xml:space="preserve"> </w:t>
      </w:r>
      <w:r>
        <w:rPr>
          <w:rFonts w:ascii="Calibri" w:hAnsi="Calibri"/>
        </w:rPr>
        <w:t>is in</w:t>
      </w:r>
      <w:r>
        <w:rPr>
          <w:rFonts w:ascii="Calibri" w:hAnsi="Calibri"/>
          <w:spacing w:val="-2"/>
        </w:rPr>
        <w:t xml:space="preserve"> </w:t>
      </w:r>
      <w:r>
        <w:rPr>
          <w:rFonts w:ascii="Calibri" w:hAnsi="Calibri"/>
        </w:rPr>
        <w:t>place</w:t>
      </w:r>
      <w:r>
        <w:rPr>
          <w:rFonts w:ascii="Calibri" w:hAnsi="Calibri"/>
          <w:spacing w:val="1"/>
        </w:rPr>
        <w:t xml:space="preserve"> </w:t>
      </w:r>
      <w:r>
        <w:rPr>
          <w:rFonts w:ascii="Calibri" w:hAnsi="Calibri"/>
        </w:rPr>
        <w:t>for CY22.</w:t>
      </w:r>
    </w:p>
    <w:p w14:paraId="4CF45C0F" w14:textId="77777777" w:rsidR="00134682" w:rsidRDefault="00134682" w:rsidP="00134682">
      <w:pPr>
        <w:pStyle w:val="BodyText"/>
        <w:ind w:left="960" w:right="1471"/>
        <w:rPr>
          <w:rFonts w:ascii="Calibri" w:hAnsi="Calibri"/>
        </w:rPr>
      </w:pPr>
    </w:p>
    <w:p w14:paraId="557C8237" w14:textId="4B5CA5A5" w:rsidR="00134682" w:rsidRDefault="00134682" w:rsidP="00134682">
      <w:pPr>
        <w:pStyle w:val="BodyText"/>
        <w:ind w:left="960" w:right="1471"/>
        <w:rPr>
          <w:rFonts w:ascii="Calibri" w:hAnsi="Calibri"/>
        </w:rPr>
      </w:pPr>
      <w:r w:rsidRPr="002459F0">
        <w:rPr>
          <w:rFonts w:ascii="Calibri" w:hAnsi="Calibri"/>
        </w:rPr>
        <w:t xml:space="preserve">To determine the CY22 actual expenditures that will be compared to the high-cost drug pool, high-cost GPIs and PADs relevant to CY22 are yet to be identified. Due to the nature of new drugs coming onto the market over time, it is possible that drugs that exist in CY22 were not present in the CY18 or CY19 base data period. Therefore, a separate identification of drugs with an average PMPM of </w:t>
      </w:r>
      <w:r w:rsidR="00FB49DE">
        <w:rPr>
          <w:rFonts w:ascii="Calibri"/>
        </w:rPr>
        <w:t>ten thousand dollars ($10,000)</w:t>
      </w:r>
      <w:r w:rsidR="00FB49DE" w:rsidRPr="0071776D">
        <w:rPr>
          <w:rFonts w:ascii="Calibri"/>
        </w:rPr>
        <w:t xml:space="preserve"> </w:t>
      </w:r>
      <w:r w:rsidRPr="002459F0">
        <w:rPr>
          <w:rFonts w:ascii="Calibri" w:hAnsi="Calibri"/>
        </w:rPr>
        <w:t xml:space="preserve">in the CY22 contract period will be completed. This will be completed in a manner consistent with the approach described in the “High-Cost Drug Identification Criteria” section above, with the exception that the membership and claims data will be based on CY22 experience and a standardized unit cost will be applied to NDCs underlying each GPI identified. Once this identification process is completed, the total experience for the GPIs and </w:t>
      </w:r>
      <w:proofErr w:type="spellStart"/>
      <w:r w:rsidRPr="002459F0">
        <w:rPr>
          <w:rFonts w:ascii="Calibri" w:hAnsi="Calibri"/>
        </w:rPr>
        <w:t>injectables</w:t>
      </w:r>
      <w:proofErr w:type="spellEnd"/>
      <w:r w:rsidRPr="002459F0">
        <w:rPr>
          <w:rFonts w:ascii="Calibri" w:hAnsi="Calibri"/>
        </w:rPr>
        <w:t xml:space="preserve"> meeting the criteria in CY22 will comprise the experience to be compared to the high-cost drug pool.</w:t>
      </w:r>
    </w:p>
    <w:p w14:paraId="249C5EDC" w14:textId="77777777" w:rsidR="00134682" w:rsidRPr="002459F0" w:rsidRDefault="00134682" w:rsidP="00134682">
      <w:pPr>
        <w:pStyle w:val="BodyText"/>
        <w:ind w:left="960" w:right="1471"/>
        <w:rPr>
          <w:rFonts w:ascii="Calibri" w:hAnsi="Calibri"/>
        </w:rPr>
      </w:pPr>
    </w:p>
    <w:p w14:paraId="1DEFE076" w14:textId="77777777" w:rsidR="00134682" w:rsidRDefault="00134682" w:rsidP="00134682">
      <w:pPr>
        <w:pStyle w:val="BodyText"/>
        <w:ind w:left="960" w:right="1471"/>
        <w:rPr>
          <w:rFonts w:ascii="Calibri" w:hAnsi="Calibri"/>
        </w:rPr>
      </w:pPr>
      <w:r w:rsidRPr="002459F0">
        <w:rPr>
          <w:rFonts w:ascii="Calibri" w:hAnsi="Calibri"/>
        </w:rPr>
        <w:t>Prior to the determination of dollar transfers between MCOs, the CY22 experience for drugs that meet the high-cost criteria will be evaluated against the risk corridor. The risk corridor bands are noted below:</w:t>
      </w:r>
    </w:p>
    <w:p w14:paraId="1682CDBC" w14:textId="77777777" w:rsidR="00134682" w:rsidRDefault="00134682" w:rsidP="00134682">
      <w:pPr>
        <w:pStyle w:val="BodyText"/>
        <w:spacing w:before="1"/>
        <w:rPr>
          <w:rFonts w:ascii="Calibri"/>
        </w:rPr>
      </w:pPr>
    </w:p>
    <w:p w14:paraId="331B67FC" w14:textId="77777777" w:rsidR="00134682" w:rsidRDefault="00134682" w:rsidP="00134682">
      <w:pPr>
        <w:pStyle w:val="BodyText"/>
        <w:spacing w:before="1" w:after="1"/>
        <w:rPr>
          <w:rFonts w:ascii="Calibri"/>
        </w:rPr>
      </w:pPr>
    </w:p>
    <w:tbl>
      <w:tblPr>
        <w:tblW w:w="0" w:type="auto"/>
        <w:tblInd w:w="272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459"/>
        <w:gridCol w:w="1463"/>
        <w:gridCol w:w="1461"/>
        <w:gridCol w:w="1459"/>
      </w:tblGrid>
      <w:tr w:rsidR="00134682" w14:paraId="43C640A1" w14:textId="77777777" w:rsidTr="00C766AA">
        <w:trPr>
          <w:trHeight w:val="263"/>
        </w:trPr>
        <w:tc>
          <w:tcPr>
            <w:tcW w:w="2922" w:type="dxa"/>
            <w:gridSpan w:val="2"/>
            <w:tcBorders>
              <w:left w:val="single" w:sz="4" w:space="0" w:color="000000"/>
            </w:tcBorders>
          </w:tcPr>
          <w:p w14:paraId="3D70FB59" w14:textId="77777777" w:rsidR="00134682" w:rsidRDefault="00134682" w:rsidP="00C766AA">
            <w:pPr>
              <w:pStyle w:val="TableParagraph"/>
              <w:spacing w:line="243" w:lineRule="exact"/>
              <w:ind w:left="107"/>
              <w:rPr>
                <w:rFonts w:ascii="Calibri"/>
                <w:b/>
              </w:rPr>
            </w:pPr>
            <w:r>
              <w:rPr>
                <w:rFonts w:ascii="Calibri"/>
                <w:b/>
              </w:rPr>
              <w:t>Corridor</w:t>
            </w:r>
            <w:r>
              <w:rPr>
                <w:rFonts w:ascii="Calibri"/>
                <w:b/>
                <w:spacing w:val="-3"/>
              </w:rPr>
              <w:t xml:space="preserve"> </w:t>
            </w:r>
            <w:r>
              <w:rPr>
                <w:rFonts w:ascii="Calibri"/>
                <w:b/>
              </w:rPr>
              <w:t>Bands</w:t>
            </w:r>
          </w:p>
        </w:tc>
        <w:tc>
          <w:tcPr>
            <w:tcW w:w="2920" w:type="dxa"/>
            <w:gridSpan w:val="2"/>
          </w:tcPr>
          <w:p w14:paraId="32676624" w14:textId="77777777" w:rsidR="00134682" w:rsidRDefault="00134682" w:rsidP="00C766AA">
            <w:pPr>
              <w:pStyle w:val="TableParagraph"/>
              <w:spacing w:line="243" w:lineRule="exact"/>
              <w:ind w:left="104"/>
              <w:rPr>
                <w:rFonts w:ascii="Calibri"/>
                <w:b/>
              </w:rPr>
            </w:pPr>
            <w:r>
              <w:rPr>
                <w:rFonts w:ascii="Calibri"/>
                <w:b/>
              </w:rPr>
              <w:t>State/Fed</w:t>
            </w:r>
            <w:r>
              <w:rPr>
                <w:rFonts w:ascii="Calibri"/>
                <w:b/>
                <w:spacing w:val="-3"/>
              </w:rPr>
              <w:t xml:space="preserve"> </w:t>
            </w:r>
            <w:r>
              <w:rPr>
                <w:rFonts w:ascii="Calibri"/>
                <w:b/>
              </w:rPr>
              <w:t>and MCO</w:t>
            </w:r>
            <w:r>
              <w:rPr>
                <w:rFonts w:ascii="Calibri"/>
                <w:b/>
                <w:spacing w:val="-2"/>
              </w:rPr>
              <w:t xml:space="preserve"> </w:t>
            </w:r>
            <w:r>
              <w:rPr>
                <w:rFonts w:ascii="Calibri"/>
                <w:b/>
              </w:rPr>
              <w:t>Share</w:t>
            </w:r>
          </w:p>
        </w:tc>
      </w:tr>
      <w:tr w:rsidR="00134682" w14:paraId="497B61DD" w14:textId="77777777" w:rsidTr="00C766AA">
        <w:trPr>
          <w:trHeight w:val="532"/>
        </w:trPr>
        <w:tc>
          <w:tcPr>
            <w:tcW w:w="1459" w:type="dxa"/>
            <w:tcBorders>
              <w:left w:val="single" w:sz="4" w:space="0" w:color="000000"/>
            </w:tcBorders>
          </w:tcPr>
          <w:p w14:paraId="27AA3A41" w14:textId="77777777" w:rsidR="00134682" w:rsidRDefault="00134682" w:rsidP="00C766AA">
            <w:pPr>
              <w:pStyle w:val="TableParagraph"/>
              <w:spacing w:line="266" w:lineRule="exact"/>
              <w:ind w:left="107"/>
              <w:rPr>
                <w:rFonts w:ascii="Calibri"/>
                <w:b/>
              </w:rPr>
            </w:pPr>
            <w:r>
              <w:rPr>
                <w:rFonts w:ascii="Calibri"/>
                <w:b/>
              </w:rPr>
              <w:t>Low</w:t>
            </w:r>
          </w:p>
        </w:tc>
        <w:tc>
          <w:tcPr>
            <w:tcW w:w="1463" w:type="dxa"/>
          </w:tcPr>
          <w:p w14:paraId="48899A51" w14:textId="77777777" w:rsidR="00134682" w:rsidRDefault="00134682" w:rsidP="00C766AA">
            <w:pPr>
              <w:pStyle w:val="TableParagraph"/>
              <w:spacing w:line="266" w:lineRule="exact"/>
              <w:ind w:left="105"/>
              <w:rPr>
                <w:rFonts w:ascii="Calibri"/>
                <w:b/>
              </w:rPr>
            </w:pPr>
            <w:r>
              <w:rPr>
                <w:rFonts w:ascii="Calibri"/>
                <w:b/>
              </w:rPr>
              <w:t>High</w:t>
            </w:r>
          </w:p>
        </w:tc>
        <w:tc>
          <w:tcPr>
            <w:tcW w:w="1461" w:type="dxa"/>
          </w:tcPr>
          <w:p w14:paraId="61F1F2EF" w14:textId="77777777" w:rsidR="00134682" w:rsidRDefault="00134682" w:rsidP="00C766AA">
            <w:pPr>
              <w:pStyle w:val="TableParagraph"/>
              <w:spacing w:line="266" w:lineRule="exact"/>
              <w:ind w:left="104"/>
              <w:rPr>
                <w:rFonts w:ascii="Calibri"/>
                <w:b/>
              </w:rPr>
            </w:pPr>
            <w:r>
              <w:rPr>
                <w:rFonts w:ascii="Calibri"/>
                <w:b/>
              </w:rPr>
              <w:t>State/Fed</w:t>
            </w:r>
          </w:p>
          <w:p w14:paraId="1A01AF0A" w14:textId="77777777" w:rsidR="00134682" w:rsidRDefault="00134682" w:rsidP="00C766AA">
            <w:pPr>
              <w:pStyle w:val="TableParagraph"/>
              <w:spacing w:line="246" w:lineRule="exact"/>
              <w:ind w:left="104"/>
              <w:rPr>
                <w:rFonts w:ascii="Calibri"/>
                <w:b/>
              </w:rPr>
            </w:pPr>
            <w:r>
              <w:rPr>
                <w:rFonts w:ascii="Calibri"/>
                <w:b/>
              </w:rPr>
              <w:t>Share</w:t>
            </w:r>
          </w:p>
        </w:tc>
        <w:tc>
          <w:tcPr>
            <w:tcW w:w="1459" w:type="dxa"/>
          </w:tcPr>
          <w:p w14:paraId="4DA4E1E8" w14:textId="77777777" w:rsidR="00134682" w:rsidRDefault="00134682" w:rsidP="00C766AA">
            <w:pPr>
              <w:pStyle w:val="TableParagraph"/>
              <w:spacing w:line="266" w:lineRule="exact"/>
              <w:ind w:left="102"/>
              <w:rPr>
                <w:rFonts w:ascii="Calibri"/>
                <w:b/>
              </w:rPr>
            </w:pPr>
            <w:r>
              <w:rPr>
                <w:rFonts w:ascii="Calibri"/>
                <w:b/>
              </w:rPr>
              <w:t>MCO</w:t>
            </w:r>
            <w:r>
              <w:rPr>
                <w:rFonts w:ascii="Calibri"/>
                <w:b/>
                <w:spacing w:val="-2"/>
              </w:rPr>
              <w:t xml:space="preserve"> </w:t>
            </w:r>
            <w:r>
              <w:rPr>
                <w:rFonts w:ascii="Calibri"/>
                <w:b/>
              </w:rPr>
              <w:t>Share</w:t>
            </w:r>
          </w:p>
        </w:tc>
      </w:tr>
      <w:tr w:rsidR="00134682" w14:paraId="3D855A06" w14:textId="77777777" w:rsidTr="00C766AA">
        <w:trPr>
          <w:trHeight w:val="263"/>
        </w:trPr>
        <w:tc>
          <w:tcPr>
            <w:tcW w:w="1459" w:type="dxa"/>
            <w:tcBorders>
              <w:left w:val="single" w:sz="4" w:space="0" w:color="000000"/>
            </w:tcBorders>
          </w:tcPr>
          <w:p w14:paraId="1D663A4C" w14:textId="77777777" w:rsidR="00134682" w:rsidRDefault="00134682" w:rsidP="00C766AA">
            <w:pPr>
              <w:pStyle w:val="TableParagraph"/>
              <w:spacing w:line="243" w:lineRule="exact"/>
              <w:ind w:left="107"/>
              <w:rPr>
                <w:rFonts w:ascii="Calibri"/>
              </w:rPr>
            </w:pPr>
            <w:r>
              <w:rPr>
                <w:rFonts w:ascii="Calibri"/>
              </w:rPr>
              <w:t>&lt;=85%</w:t>
            </w:r>
          </w:p>
        </w:tc>
        <w:tc>
          <w:tcPr>
            <w:tcW w:w="1463" w:type="dxa"/>
          </w:tcPr>
          <w:p w14:paraId="75D7355F" w14:textId="77777777" w:rsidR="00134682" w:rsidRDefault="00134682" w:rsidP="00C766AA">
            <w:pPr>
              <w:pStyle w:val="TableParagraph"/>
              <w:spacing w:line="243" w:lineRule="exact"/>
              <w:ind w:left="105"/>
              <w:rPr>
                <w:rFonts w:ascii="Calibri"/>
              </w:rPr>
            </w:pPr>
            <w:r>
              <w:rPr>
                <w:rFonts w:ascii="Calibri"/>
              </w:rPr>
              <w:t>85%</w:t>
            </w:r>
          </w:p>
        </w:tc>
        <w:tc>
          <w:tcPr>
            <w:tcW w:w="1461" w:type="dxa"/>
          </w:tcPr>
          <w:p w14:paraId="5C276D74" w14:textId="77777777" w:rsidR="00134682" w:rsidRDefault="00134682" w:rsidP="00C766AA">
            <w:pPr>
              <w:pStyle w:val="TableParagraph"/>
              <w:spacing w:line="243" w:lineRule="exact"/>
              <w:ind w:left="104"/>
              <w:rPr>
                <w:rFonts w:ascii="Calibri"/>
              </w:rPr>
            </w:pPr>
            <w:r>
              <w:rPr>
                <w:rFonts w:ascii="Calibri"/>
              </w:rPr>
              <w:t>100%</w:t>
            </w:r>
          </w:p>
        </w:tc>
        <w:tc>
          <w:tcPr>
            <w:tcW w:w="1459" w:type="dxa"/>
          </w:tcPr>
          <w:p w14:paraId="6F9EE35D" w14:textId="77777777" w:rsidR="00134682" w:rsidRDefault="00134682" w:rsidP="00C766AA">
            <w:pPr>
              <w:pStyle w:val="TableParagraph"/>
              <w:spacing w:line="243" w:lineRule="exact"/>
              <w:ind w:left="102"/>
              <w:rPr>
                <w:rFonts w:ascii="Calibri"/>
              </w:rPr>
            </w:pPr>
            <w:r>
              <w:rPr>
                <w:rFonts w:ascii="Calibri"/>
              </w:rPr>
              <w:t>0%</w:t>
            </w:r>
          </w:p>
        </w:tc>
      </w:tr>
      <w:tr w:rsidR="00134682" w14:paraId="269A9127" w14:textId="77777777" w:rsidTr="00C766AA">
        <w:trPr>
          <w:trHeight w:val="263"/>
        </w:trPr>
        <w:tc>
          <w:tcPr>
            <w:tcW w:w="1459" w:type="dxa"/>
            <w:tcBorders>
              <w:left w:val="single" w:sz="4" w:space="0" w:color="000000"/>
            </w:tcBorders>
          </w:tcPr>
          <w:p w14:paraId="3FDB801B" w14:textId="77777777" w:rsidR="00134682" w:rsidRDefault="00134682" w:rsidP="00C766AA">
            <w:pPr>
              <w:pStyle w:val="TableParagraph"/>
              <w:spacing w:line="243" w:lineRule="exact"/>
              <w:ind w:left="107"/>
              <w:rPr>
                <w:rFonts w:ascii="Calibri"/>
              </w:rPr>
            </w:pPr>
            <w:r>
              <w:rPr>
                <w:rFonts w:ascii="Calibri"/>
              </w:rPr>
              <w:t>85%</w:t>
            </w:r>
          </w:p>
        </w:tc>
        <w:tc>
          <w:tcPr>
            <w:tcW w:w="1463" w:type="dxa"/>
          </w:tcPr>
          <w:p w14:paraId="62CE632C" w14:textId="77777777" w:rsidR="00134682" w:rsidRDefault="00134682" w:rsidP="00C766AA">
            <w:pPr>
              <w:pStyle w:val="TableParagraph"/>
              <w:spacing w:line="243" w:lineRule="exact"/>
              <w:ind w:left="105"/>
              <w:rPr>
                <w:rFonts w:ascii="Calibri"/>
              </w:rPr>
            </w:pPr>
            <w:r>
              <w:rPr>
                <w:rFonts w:ascii="Calibri"/>
              </w:rPr>
              <w:t>90%</w:t>
            </w:r>
          </w:p>
        </w:tc>
        <w:tc>
          <w:tcPr>
            <w:tcW w:w="1461" w:type="dxa"/>
          </w:tcPr>
          <w:p w14:paraId="22BF873F" w14:textId="77777777" w:rsidR="00134682" w:rsidRDefault="00134682" w:rsidP="00C766AA">
            <w:pPr>
              <w:pStyle w:val="TableParagraph"/>
              <w:spacing w:line="243" w:lineRule="exact"/>
              <w:ind w:left="104"/>
              <w:rPr>
                <w:rFonts w:ascii="Calibri"/>
              </w:rPr>
            </w:pPr>
            <w:r>
              <w:rPr>
                <w:rFonts w:ascii="Calibri"/>
              </w:rPr>
              <w:t>75%</w:t>
            </w:r>
          </w:p>
        </w:tc>
        <w:tc>
          <w:tcPr>
            <w:tcW w:w="1459" w:type="dxa"/>
          </w:tcPr>
          <w:p w14:paraId="28B443D2" w14:textId="77777777" w:rsidR="00134682" w:rsidRDefault="00134682" w:rsidP="00C766AA">
            <w:pPr>
              <w:pStyle w:val="TableParagraph"/>
              <w:spacing w:line="243" w:lineRule="exact"/>
              <w:ind w:left="102"/>
              <w:rPr>
                <w:rFonts w:ascii="Calibri"/>
              </w:rPr>
            </w:pPr>
            <w:r>
              <w:rPr>
                <w:rFonts w:ascii="Calibri"/>
              </w:rPr>
              <w:t>25%</w:t>
            </w:r>
          </w:p>
        </w:tc>
      </w:tr>
      <w:tr w:rsidR="00134682" w14:paraId="04592280" w14:textId="77777777" w:rsidTr="00C766AA">
        <w:trPr>
          <w:trHeight w:val="263"/>
        </w:trPr>
        <w:tc>
          <w:tcPr>
            <w:tcW w:w="1459" w:type="dxa"/>
            <w:tcBorders>
              <w:left w:val="single" w:sz="4" w:space="0" w:color="000000"/>
            </w:tcBorders>
          </w:tcPr>
          <w:p w14:paraId="12BF520C" w14:textId="77777777" w:rsidR="00134682" w:rsidRDefault="00134682" w:rsidP="00C766AA">
            <w:pPr>
              <w:pStyle w:val="TableParagraph"/>
              <w:spacing w:line="243" w:lineRule="exact"/>
              <w:ind w:left="107"/>
              <w:rPr>
                <w:rFonts w:ascii="Calibri"/>
              </w:rPr>
            </w:pPr>
            <w:r>
              <w:rPr>
                <w:rFonts w:ascii="Calibri"/>
              </w:rPr>
              <w:t>90%</w:t>
            </w:r>
          </w:p>
        </w:tc>
        <w:tc>
          <w:tcPr>
            <w:tcW w:w="1463" w:type="dxa"/>
          </w:tcPr>
          <w:p w14:paraId="50BB57C5" w14:textId="77777777" w:rsidR="00134682" w:rsidRDefault="00134682" w:rsidP="00C766AA">
            <w:pPr>
              <w:pStyle w:val="TableParagraph"/>
              <w:spacing w:line="243" w:lineRule="exact"/>
              <w:ind w:left="105"/>
              <w:rPr>
                <w:rFonts w:ascii="Calibri"/>
              </w:rPr>
            </w:pPr>
            <w:r>
              <w:rPr>
                <w:rFonts w:ascii="Calibri"/>
              </w:rPr>
              <w:t>95%</w:t>
            </w:r>
          </w:p>
        </w:tc>
        <w:tc>
          <w:tcPr>
            <w:tcW w:w="1461" w:type="dxa"/>
          </w:tcPr>
          <w:p w14:paraId="3E23105C" w14:textId="77777777" w:rsidR="00134682" w:rsidRDefault="00134682" w:rsidP="00C766AA">
            <w:pPr>
              <w:pStyle w:val="TableParagraph"/>
              <w:spacing w:line="243" w:lineRule="exact"/>
              <w:ind w:left="104"/>
              <w:rPr>
                <w:rFonts w:ascii="Calibri"/>
              </w:rPr>
            </w:pPr>
            <w:r>
              <w:rPr>
                <w:rFonts w:ascii="Calibri"/>
              </w:rPr>
              <w:t>50%</w:t>
            </w:r>
          </w:p>
        </w:tc>
        <w:tc>
          <w:tcPr>
            <w:tcW w:w="1459" w:type="dxa"/>
          </w:tcPr>
          <w:p w14:paraId="6237738F" w14:textId="77777777" w:rsidR="00134682" w:rsidRDefault="00134682" w:rsidP="00C766AA">
            <w:pPr>
              <w:pStyle w:val="TableParagraph"/>
              <w:spacing w:line="243" w:lineRule="exact"/>
              <w:ind w:left="102"/>
              <w:rPr>
                <w:rFonts w:ascii="Calibri"/>
              </w:rPr>
            </w:pPr>
            <w:r>
              <w:rPr>
                <w:rFonts w:ascii="Calibri"/>
              </w:rPr>
              <w:t>50%</w:t>
            </w:r>
          </w:p>
        </w:tc>
      </w:tr>
      <w:tr w:rsidR="00134682" w14:paraId="0305BA69" w14:textId="77777777" w:rsidTr="00C766AA">
        <w:trPr>
          <w:trHeight w:val="263"/>
        </w:trPr>
        <w:tc>
          <w:tcPr>
            <w:tcW w:w="1459" w:type="dxa"/>
            <w:tcBorders>
              <w:left w:val="single" w:sz="4" w:space="0" w:color="000000"/>
            </w:tcBorders>
          </w:tcPr>
          <w:p w14:paraId="6A8D2B0A" w14:textId="77777777" w:rsidR="00134682" w:rsidRDefault="00134682" w:rsidP="00C766AA">
            <w:pPr>
              <w:pStyle w:val="TableParagraph"/>
              <w:spacing w:line="243" w:lineRule="exact"/>
              <w:ind w:left="107"/>
              <w:rPr>
                <w:rFonts w:ascii="Calibri"/>
              </w:rPr>
            </w:pPr>
            <w:r>
              <w:rPr>
                <w:rFonts w:ascii="Calibri"/>
              </w:rPr>
              <w:t>95%</w:t>
            </w:r>
          </w:p>
        </w:tc>
        <w:tc>
          <w:tcPr>
            <w:tcW w:w="1463" w:type="dxa"/>
          </w:tcPr>
          <w:p w14:paraId="44B914B8" w14:textId="77777777" w:rsidR="00134682" w:rsidRDefault="00134682" w:rsidP="00C766AA">
            <w:pPr>
              <w:pStyle w:val="TableParagraph"/>
              <w:spacing w:line="243" w:lineRule="exact"/>
              <w:ind w:left="105"/>
              <w:rPr>
                <w:rFonts w:ascii="Calibri"/>
              </w:rPr>
            </w:pPr>
            <w:r>
              <w:rPr>
                <w:rFonts w:ascii="Calibri"/>
              </w:rPr>
              <w:t>100%</w:t>
            </w:r>
          </w:p>
        </w:tc>
        <w:tc>
          <w:tcPr>
            <w:tcW w:w="1461" w:type="dxa"/>
          </w:tcPr>
          <w:p w14:paraId="0B5CBAE0" w14:textId="77777777" w:rsidR="00134682" w:rsidRDefault="00134682" w:rsidP="00C766AA">
            <w:pPr>
              <w:pStyle w:val="TableParagraph"/>
              <w:spacing w:line="243" w:lineRule="exact"/>
              <w:ind w:left="104"/>
              <w:rPr>
                <w:rFonts w:ascii="Calibri"/>
              </w:rPr>
            </w:pPr>
            <w:r>
              <w:rPr>
                <w:rFonts w:ascii="Calibri"/>
              </w:rPr>
              <w:t>0%</w:t>
            </w:r>
          </w:p>
        </w:tc>
        <w:tc>
          <w:tcPr>
            <w:tcW w:w="1459" w:type="dxa"/>
          </w:tcPr>
          <w:p w14:paraId="7F79E9A7" w14:textId="77777777" w:rsidR="00134682" w:rsidRDefault="00134682" w:rsidP="00C766AA">
            <w:pPr>
              <w:pStyle w:val="TableParagraph"/>
              <w:spacing w:line="243" w:lineRule="exact"/>
              <w:ind w:left="102"/>
              <w:rPr>
                <w:rFonts w:ascii="Calibri"/>
              </w:rPr>
            </w:pPr>
            <w:r>
              <w:rPr>
                <w:rFonts w:ascii="Calibri"/>
              </w:rPr>
              <w:t>100%</w:t>
            </w:r>
          </w:p>
        </w:tc>
      </w:tr>
      <w:tr w:rsidR="00134682" w14:paraId="66F65E1B" w14:textId="77777777" w:rsidTr="00C766AA">
        <w:trPr>
          <w:trHeight w:val="265"/>
        </w:trPr>
        <w:tc>
          <w:tcPr>
            <w:tcW w:w="1459" w:type="dxa"/>
            <w:tcBorders>
              <w:left w:val="single" w:sz="4" w:space="0" w:color="000000"/>
            </w:tcBorders>
          </w:tcPr>
          <w:p w14:paraId="0DCD02AC" w14:textId="77777777" w:rsidR="00134682" w:rsidRDefault="00134682" w:rsidP="00C766AA">
            <w:pPr>
              <w:pStyle w:val="TableParagraph"/>
              <w:spacing w:line="246" w:lineRule="exact"/>
              <w:ind w:left="107"/>
              <w:rPr>
                <w:rFonts w:ascii="Calibri"/>
              </w:rPr>
            </w:pPr>
            <w:r>
              <w:rPr>
                <w:rFonts w:ascii="Calibri"/>
              </w:rPr>
              <w:t>100%</w:t>
            </w:r>
          </w:p>
        </w:tc>
        <w:tc>
          <w:tcPr>
            <w:tcW w:w="1463" w:type="dxa"/>
          </w:tcPr>
          <w:p w14:paraId="0CEC40A1" w14:textId="77777777" w:rsidR="00134682" w:rsidRDefault="00134682" w:rsidP="00C766AA">
            <w:pPr>
              <w:pStyle w:val="TableParagraph"/>
              <w:spacing w:line="246" w:lineRule="exact"/>
              <w:ind w:left="105"/>
              <w:rPr>
                <w:rFonts w:ascii="Calibri"/>
              </w:rPr>
            </w:pPr>
            <w:r>
              <w:rPr>
                <w:rFonts w:ascii="Calibri"/>
              </w:rPr>
              <w:t>105%</w:t>
            </w:r>
          </w:p>
        </w:tc>
        <w:tc>
          <w:tcPr>
            <w:tcW w:w="1461" w:type="dxa"/>
          </w:tcPr>
          <w:p w14:paraId="5E78172F" w14:textId="77777777" w:rsidR="00134682" w:rsidRDefault="00134682" w:rsidP="00C766AA">
            <w:pPr>
              <w:pStyle w:val="TableParagraph"/>
              <w:spacing w:line="246" w:lineRule="exact"/>
              <w:ind w:left="104"/>
              <w:rPr>
                <w:rFonts w:ascii="Calibri"/>
              </w:rPr>
            </w:pPr>
            <w:r>
              <w:rPr>
                <w:rFonts w:ascii="Calibri"/>
              </w:rPr>
              <w:t>0%</w:t>
            </w:r>
          </w:p>
        </w:tc>
        <w:tc>
          <w:tcPr>
            <w:tcW w:w="1459" w:type="dxa"/>
          </w:tcPr>
          <w:p w14:paraId="401E56D7" w14:textId="77777777" w:rsidR="00134682" w:rsidRDefault="00134682" w:rsidP="00C766AA">
            <w:pPr>
              <w:pStyle w:val="TableParagraph"/>
              <w:spacing w:line="246" w:lineRule="exact"/>
              <w:ind w:left="102"/>
              <w:rPr>
                <w:rFonts w:ascii="Calibri"/>
              </w:rPr>
            </w:pPr>
            <w:r>
              <w:rPr>
                <w:rFonts w:ascii="Calibri"/>
              </w:rPr>
              <w:t>100%</w:t>
            </w:r>
          </w:p>
        </w:tc>
      </w:tr>
      <w:tr w:rsidR="00134682" w14:paraId="4E15155C" w14:textId="77777777" w:rsidTr="00C766AA">
        <w:trPr>
          <w:trHeight w:val="263"/>
        </w:trPr>
        <w:tc>
          <w:tcPr>
            <w:tcW w:w="1459" w:type="dxa"/>
            <w:tcBorders>
              <w:left w:val="single" w:sz="4" w:space="0" w:color="000000"/>
            </w:tcBorders>
          </w:tcPr>
          <w:p w14:paraId="14851025" w14:textId="77777777" w:rsidR="00134682" w:rsidRDefault="00134682" w:rsidP="00C766AA">
            <w:pPr>
              <w:pStyle w:val="TableParagraph"/>
              <w:spacing w:line="243" w:lineRule="exact"/>
              <w:ind w:left="107"/>
              <w:rPr>
                <w:rFonts w:ascii="Calibri"/>
              </w:rPr>
            </w:pPr>
            <w:r>
              <w:rPr>
                <w:rFonts w:ascii="Calibri"/>
              </w:rPr>
              <w:t>105%</w:t>
            </w:r>
          </w:p>
        </w:tc>
        <w:tc>
          <w:tcPr>
            <w:tcW w:w="1463" w:type="dxa"/>
          </w:tcPr>
          <w:p w14:paraId="4FC92937" w14:textId="77777777" w:rsidR="00134682" w:rsidRDefault="00134682" w:rsidP="00C766AA">
            <w:pPr>
              <w:pStyle w:val="TableParagraph"/>
              <w:spacing w:line="243" w:lineRule="exact"/>
              <w:ind w:left="105"/>
              <w:rPr>
                <w:rFonts w:ascii="Calibri"/>
              </w:rPr>
            </w:pPr>
            <w:r>
              <w:rPr>
                <w:rFonts w:ascii="Calibri"/>
              </w:rPr>
              <w:t>110%</w:t>
            </w:r>
          </w:p>
        </w:tc>
        <w:tc>
          <w:tcPr>
            <w:tcW w:w="1461" w:type="dxa"/>
          </w:tcPr>
          <w:p w14:paraId="733F11A6" w14:textId="77777777" w:rsidR="00134682" w:rsidRDefault="00134682" w:rsidP="00C766AA">
            <w:pPr>
              <w:pStyle w:val="TableParagraph"/>
              <w:spacing w:line="243" w:lineRule="exact"/>
              <w:ind w:left="104"/>
              <w:rPr>
                <w:rFonts w:ascii="Calibri"/>
              </w:rPr>
            </w:pPr>
            <w:r>
              <w:rPr>
                <w:rFonts w:ascii="Calibri"/>
              </w:rPr>
              <w:t>50%</w:t>
            </w:r>
          </w:p>
        </w:tc>
        <w:tc>
          <w:tcPr>
            <w:tcW w:w="1459" w:type="dxa"/>
          </w:tcPr>
          <w:p w14:paraId="5594F202" w14:textId="77777777" w:rsidR="00134682" w:rsidRDefault="00134682" w:rsidP="00C766AA">
            <w:pPr>
              <w:pStyle w:val="TableParagraph"/>
              <w:spacing w:line="243" w:lineRule="exact"/>
              <w:ind w:left="102"/>
              <w:rPr>
                <w:rFonts w:ascii="Calibri"/>
              </w:rPr>
            </w:pPr>
            <w:r>
              <w:rPr>
                <w:rFonts w:ascii="Calibri"/>
              </w:rPr>
              <w:t>50%</w:t>
            </w:r>
          </w:p>
        </w:tc>
      </w:tr>
      <w:tr w:rsidR="00134682" w14:paraId="1F5D29BE" w14:textId="77777777" w:rsidTr="00C766AA">
        <w:trPr>
          <w:trHeight w:val="263"/>
        </w:trPr>
        <w:tc>
          <w:tcPr>
            <w:tcW w:w="1459" w:type="dxa"/>
            <w:tcBorders>
              <w:left w:val="single" w:sz="4" w:space="0" w:color="000000"/>
            </w:tcBorders>
          </w:tcPr>
          <w:p w14:paraId="2B78EF11" w14:textId="544AB933" w:rsidR="00134682" w:rsidRDefault="00134682" w:rsidP="00C766AA">
            <w:pPr>
              <w:pStyle w:val="TableParagraph"/>
              <w:spacing w:line="243" w:lineRule="exact"/>
              <w:ind w:left="107"/>
              <w:rPr>
                <w:rFonts w:ascii="Calibri"/>
              </w:rPr>
            </w:pPr>
            <w:r>
              <w:rPr>
                <w:rFonts w:ascii="Calibri"/>
              </w:rPr>
              <w:t>110%</w:t>
            </w:r>
          </w:p>
        </w:tc>
        <w:tc>
          <w:tcPr>
            <w:tcW w:w="1463" w:type="dxa"/>
          </w:tcPr>
          <w:p w14:paraId="59781739" w14:textId="13E7BD87" w:rsidR="00134682" w:rsidRDefault="00134682" w:rsidP="00C766AA">
            <w:pPr>
              <w:pStyle w:val="TableParagraph"/>
              <w:spacing w:line="243" w:lineRule="exact"/>
              <w:ind w:left="105"/>
              <w:rPr>
                <w:rFonts w:ascii="Calibri"/>
              </w:rPr>
            </w:pPr>
            <w:r>
              <w:rPr>
                <w:rFonts w:ascii="Calibri"/>
              </w:rPr>
              <w:t>115%</w:t>
            </w:r>
          </w:p>
        </w:tc>
        <w:tc>
          <w:tcPr>
            <w:tcW w:w="1461" w:type="dxa"/>
          </w:tcPr>
          <w:p w14:paraId="6F1FD174" w14:textId="5492DE01" w:rsidR="00134682" w:rsidRDefault="00134682" w:rsidP="00C766AA">
            <w:pPr>
              <w:pStyle w:val="TableParagraph"/>
              <w:spacing w:line="243" w:lineRule="exact"/>
              <w:ind w:left="104"/>
              <w:rPr>
                <w:rFonts w:ascii="Calibri"/>
              </w:rPr>
            </w:pPr>
            <w:r>
              <w:rPr>
                <w:rFonts w:ascii="Calibri"/>
              </w:rPr>
              <w:t>75%</w:t>
            </w:r>
          </w:p>
        </w:tc>
        <w:tc>
          <w:tcPr>
            <w:tcW w:w="1459" w:type="dxa"/>
          </w:tcPr>
          <w:p w14:paraId="32B330A0" w14:textId="038E1E2F" w:rsidR="00134682" w:rsidRDefault="00134682" w:rsidP="00C766AA">
            <w:pPr>
              <w:pStyle w:val="TableParagraph"/>
              <w:spacing w:line="243" w:lineRule="exact"/>
              <w:ind w:left="102"/>
              <w:rPr>
                <w:rFonts w:ascii="Calibri"/>
              </w:rPr>
            </w:pPr>
            <w:r>
              <w:rPr>
                <w:rFonts w:ascii="Calibri"/>
              </w:rPr>
              <w:t>25%</w:t>
            </w:r>
          </w:p>
        </w:tc>
      </w:tr>
      <w:tr w:rsidR="00134682" w14:paraId="691734DB" w14:textId="77777777" w:rsidTr="00C766AA">
        <w:trPr>
          <w:trHeight w:val="263"/>
        </w:trPr>
        <w:tc>
          <w:tcPr>
            <w:tcW w:w="1459" w:type="dxa"/>
            <w:tcBorders>
              <w:left w:val="single" w:sz="4" w:space="0" w:color="000000"/>
            </w:tcBorders>
          </w:tcPr>
          <w:p w14:paraId="4B80D0E7" w14:textId="748B42A2" w:rsidR="00134682" w:rsidRDefault="00134682" w:rsidP="00C766AA">
            <w:pPr>
              <w:pStyle w:val="TableParagraph"/>
              <w:spacing w:line="243" w:lineRule="exact"/>
              <w:ind w:left="107"/>
              <w:rPr>
                <w:rFonts w:ascii="Calibri"/>
              </w:rPr>
            </w:pPr>
            <w:r>
              <w:rPr>
                <w:rFonts w:ascii="Calibri"/>
              </w:rPr>
              <w:t>115%</w:t>
            </w:r>
          </w:p>
        </w:tc>
        <w:tc>
          <w:tcPr>
            <w:tcW w:w="1463" w:type="dxa"/>
          </w:tcPr>
          <w:p w14:paraId="27DB147F" w14:textId="29258679" w:rsidR="00134682" w:rsidRDefault="00134682" w:rsidP="00C766AA">
            <w:pPr>
              <w:pStyle w:val="TableParagraph"/>
              <w:spacing w:line="243" w:lineRule="exact"/>
              <w:ind w:left="105"/>
              <w:rPr>
                <w:rFonts w:ascii="Calibri"/>
              </w:rPr>
            </w:pPr>
            <w:r>
              <w:rPr>
                <w:rFonts w:ascii="Calibri"/>
              </w:rPr>
              <w:t>&gt;=115%</w:t>
            </w:r>
          </w:p>
        </w:tc>
        <w:tc>
          <w:tcPr>
            <w:tcW w:w="1461" w:type="dxa"/>
          </w:tcPr>
          <w:p w14:paraId="1AAE192A" w14:textId="0BDD943D" w:rsidR="00134682" w:rsidRDefault="00134682" w:rsidP="00C766AA">
            <w:pPr>
              <w:pStyle w:val="TableParagraph"/>
              <w:spacing w:line="243" w:lineRule="exact"/>
              <w:ind w:left="104"/>
              <w:rPr>
                <w:rFonts w:ascii="Calibri"/>
              </w:rPr>
            </w:pPr>
            <w:r>
              <w:rPr>
                <w:rFonts w:ascii="Calibri"/>
              </w:rPr>
              <w:t>100%</w:t>
            </w:r>
          </w:p>
        </w:tc>
        <w:tc>
          <w:tcPr>
            <w:tcW w:w="1459" w:type="dxa"/>
          </w:tcPr>
          <w:p w14:paraId="24082F9C" w14:textId="02A8F47D" w:rsidR="00134682" w:rsidRDefault="00134682" w:rsidP="00C766AA">
            <w:pPr>
              <w:pStyle w:val="TableParagraph"/>
              <w:spacing w:line="243" w:lineRule="exact"/>
              <w:ind w:left="102"/>
              <w:rPr>
                <w:rFonts w:ascii="Calibri"/>
              </w:rPr>
            </w:pPr>
            <w:r>
              <w:rPr>
                <w:rFonts w:ascii="Calibri"/>
              </w:rPr>
              <w:t>0%</w:t>
            </w:r>
          </w:p>
        </w:tc>
      </w:tr>
    </w:tbl>
    <w:p w14:paraId="1ABAC56E" w14:textId="77777777" w:rsidR="00134682" w:rsidRDefault="00134682" w:rsidP="00134682">
      <w:pPr>
        <w:spacing w:line="243" w:lineRule="exact"/>
        <w:rPr>
          <w:rFonts w:ascii="Calibri"/>
        </w:rPr>
        <w:sectPr w:rsidR="00134682">
          <w:pgSz w:w="12240" w:h="15840"/>
          <w:pgMar w:top="1400" w:right="480" w:bottom="1482" w:left="480" w:header="720" w:footer="720" w:gutter="0"/>
          <w:cols w:space="720"/>
        </w:sectPr>
      </w:pPr>
    </w:p>
    <w:p w14:paraId="24C19A9F" w14:textId="793B1B58" w:rsidR="00134682" w:rsidRDefault="00134682" w:rsidP="00134682">
      <w:pPr>
        <w:pStyle w:val="BodyText"/>
        <w:spacing w:before="56"/>
        <w:ind w:left="960" w:right="1185"/>
        <w:rPr>
          <w:rFonts w:ascii="Calibri"/>
        </w:rPr>
      </w:pPr>
      <w:r>
        <w:rPr>
          <w:rFonts w:ascii="Calibri"/>
        </w:rPr>
        <w:lastRenderedPageBreak/>
        <w:t xml:space="preserve">If the program-wide experience for </w:t>
      </w:r>
      <w:r w:rsidR="00E541AC">
        <w:rPr>
          <w:rFonts w:ascii="Calibri"/>
        </w:rPr>
        <w:t>high-cost</w:t>
      </w:r>
      <w:r>
        <w:rPr>
          <w:rFonts w:ascii="Calibri"/>
        </w:rPr>
        <w:t xml:space="preserve"> drugs exceeds the original pool enough to warrant a</w:t>
      </w:r>
      <w:r>
        <w:rPr>
          <w:rFonts w:ascii="Calibri"/>
          <w:spacing w:val="1"/>
        </w:rPr>
        <w:t xml:space="preserve"> </w:t>
      </w:r>
      <w:r>
        <w:rPr>
          <w:rFonts w:ascii="Calibri"/>
        </w:rPr>
        <w:t>State/Fed share of the excess expenditures, new dollars will be added to the pool in addition to the</w:t>
      </w:r>
      <w:r>
        <w:rPr>
          <w:rFonts w:ascii="Calibri"/>
          <w:spacing w:val="1"/>
        </w:rPr>
        <w:t xml:space="preserve"> </w:t>
      </w:r>
      <w:r>
        <w:rPr>
          <w:rFonts w:ascii="Calibri"/>
        </w:rPr>
        <w:t>capitation rates. Likewise, if the experience is far enough below the original pool to warrant State/Fed</w:t>
      </w:r>
      <w:r>
        <w:rPr>
          <w:rFonts w:ascii="Calibri"/>
          <w:spacing w:val="-47"/>
        </w:rPr>
        <w:t xml:space="preserve"> </w:t>
      </w:r>
      <w:r>
        <w:rPr>
          <w:rFonts w:ascii="Calibri"/>
        </w:rPr>
        <w:t>savings, then</w:t>
      </w:r>
      <w:r>
        <w:rPr>
          <w:rFonts w:ascii="Calibri"/>
          <w:spacing w:val="-2"/>
        </w:rPr>
        <w:t xml:space="preserve"> </w:t>
      </w:r>
      <w:r>
        <w:rPr>
          <w:rFonts w:ascii="Calibri"/>
        </w:rPr>
        <w:t>dollars</w:t>
      </w:r>
      <w:r>
        <w:rPr>
          <w:rFonts w:ascii="Calibri"/>
          <w:spacing w:val="-3"/>
        </w:rPr>
        <w:t xml:space="preserve"> </w:t>
      </w:r>
      <w:r>
        <w:rPr>
          <w:rFonts w:ascii="Calibri"/>
        </w:rPr>
        <w:t>will be</w:t>
      </w:r>
      <w:r>
        <w:rPr>
          <w:rFonts w:ascii="Calibri"/>
          <w:spacing w:val="-2"/>
        </w:rPr>
        <w:t xml:space="preserve"> </w:t>
      </w:r>
      <w:r>
        <w:rPr>
          <w:rFonts w:ascii="Calibri"/>
        </w:rPr>
        <w:t>removed</w:t>
      </w:r>
      <w:r>
        <w:rPr>
          <w:rFonts w:ascii="Calibri"/>
          <w:spacing w:val="-2"/>
        </w:rPr>
        <w:t xml:space="preserve"> </w:t>
      </w:r>
      <w:r>
        <w:rPr>
          <w:rFonts w:ascii="Calibri"/>
        </w:rPr>
        <w:t>and</w:t>
      </w:r>
      <w:r>
        <w:rPr>
          <w:rFonts w:ascii="Calibri"/>
          <w:spacing w:val="-6"/>
        </w:rPr>
        <w:t xml:space="preserve"> </w:t>
      </w:r>
      <w:r>
        <w:rPr>
          <w:rFonts w:ascii="Calibri"/>
        </w:rPr>
        <w:t>MCOs</w:t>
      </w:r>
      <w:r>
        <w:rPr>
          <w:rFonts w:ascii="Calibri"/>
          <w:spacing w:val="-3"/>
        </w:rPr>
        <w:t xml:space="preserve"> </w:t>
      </w:r>
      <w:r>
        <w:rPr>
          <w:rFonts w:ascii="Calibri"/>
        </w:rPr>
        <w:t>will</w:t>
      </w:r>
      <w:r>
        <w:rPr>
          <w:rFonts w:ascii="Calibri"/>
          <w:spacing w:val="-3"/>
        </w:rPr>
        <w:t xml:space="preserve"> </w:t>
      </w:r>
      <w:r>
        <w:rPr>
          <w:rFonts w:ascii="Calibri"/>
        </w:rPr>
        <w:t>collectively</w:t>
      </w:r>
      <w:r>
        <w:rPr>
          <w:rFonts w:ascii="Calibri"/>
          <w:spacing w:val="-1"/>
        </w:rPr>
        <w:t xml:space="preserve"> </w:t>
      </w:r>
      <w:r>
        <w:rPr>
          <w:rFonts w:ascii="Calibri"/>
        </w:rPr>
        <w:t>pay</w:t>
      </w:r>
      <w:r>
        <w:rPr>
          <w:rFonts w:ascii="Calibri"/>
          <w:spacing w:val="-1"/>
        </w:rPr>
        <w:t xml:space="preserve"> </w:t>
      </w:r>
      <w:r>
        <w:rPr>
          <w:rFonts w:ascii="Calibri"/>
        </w:rPr>
        <w:t>dollars</w:t>
      </w:r>
      <w:r>
        <w:rPr>
          <w:rFonts w:ascii="Calibri"/>
          <w:spacing w:val="-1"/>
        </w:rPr>
        <w:t xml:space="preserve"> </w:t>
      </w:r>
      <w:r>
        <w:rPr>
          <w:rFonts w:ascii="Calibri"/>
        </w:rPr>
        <w:t>back</w:t>
      </w:r>
      <w:r>
        <w:rPr>
          <w:rFonts w:ascii="Calibri"/>
          <w:spacing w:val="-1"/>
        </w:rPr>
        <w:t xml:space="preserve"> </w:t>
      </w:r>
      <w:r>
        <w:rPr>
          <w:rFonts w:ascii="Calibri"/>
        </w:rPr>
        <w:t>to the</w:t>
      </w:r>
      <w:r>
        <w:rPr>
          <w:rFonts w:ascii="Calibri"/>
          <w:spacing w:val="-2"/>
        </w:rPr>
        <w:t xml:space="preserve"> </w:t>
      </w:r>
      <w:r>
        <w:rPr>
          <w:rFonts w:ascii="Calibri"/>
        </w:rPr>
        <w:t>State/Fed.</w:t>
      </w:r>
    </w:p>
    <w:p w14:paraId="32558108" w14:textId="77777777" w:rsidR="00134682" w:rsidRDefault="00134682" w:rsidP="00134682">
      <w:pPr>
        <w:pStyle w:val="BodyText"/>
        <w:spacing w:before="56"/>
        <w:ind w:left="960" w:right="1185"/>
        <w:rPr>
          <w:rFonts w:ascii="Calibri"/>
        </w:rPr>
      </w:pPr>
    </w:p>
    <w:p w14:paraId="1543DD63" w14:textId="6D5E75DA" w:rsidR="00134682" w:rsidRDefault="00134682" w:rsidP="00134682">
      <w:pPr>
        <w:pStyle w:val="BodyText"/>
        <w:spacing w:before="56"/>
        <w:ind w:left="960" w:right="1185"/>
        <w:rPr>
          <w:rFonts w:ascii="Calibri"/>
        </w:rPr>
      </w:pPr>
      <w:r w:rsidRPr="002459F0">
        <w:rPr>
          <w:rFonts w:ascii="Calibri"/>
        </w:rPr>
        <w:t>Once the risk corridor is calculated, any additions or reductions to the pool will be made as necessary. A dollar transfer will then occur to the extent that an MCO</w:t>
      </w:r>
      <w:r w:rsidRPr="002459F0">
        <w:rPr>
          <w:rFonts w:ascii="Calibri"/>
        </w:rPr>
        <w:t>’</w:t>
      </w:r>
      <w:r w:rsidRPr="002459F0">
        <w:rPr>
          <w:rFonts w:ascii="Calibri"/>
        </w:rPr>
        <w:t>s total contribution to the statewide pool is proportionally different than its actual CY22 experience, as compared to the statewide CY22 actual experience. For example, an MCO</w:t>
      </w:r>
      <w:r w:rsidRPr="002459F0">
        <w:rPr>
          <w:rFonts w:ascii="Calibri"/>
        </w:rPr>
        <w:t>’</w:t>
      </w:r>
      <w:r w:rsidRPr="002459F0">
        <w:rPr>
          <w:rFonts w:ascii="Calibri"/>
        </w:rPr>
        <w:t>s CY22 member month count, multiplied by its MCO-Specific PMPMs, contributes</w:t>
      </w:r>
      <w:r w:rsidR="00FB49DE">
        <w:rPr>
          <w:rFonts w:ascii="Calibri"/>
        </w:rPr>
        <w:t xml:space="preserve"> thirty percent</w:t>
      </w:r>
      <w:r w:rsidRPr="002459F0">
        <w:rPr>
          <w:rFonts w:ascii="Calibri"/>
        </w:rPr>
        <w:t xml:space="preserve"> </w:t>
      </w:r>
      <w:r w:rsidR="00FB49DE">
        <w:rPr>
          <w:rFonts w:ascii="Calibri"/>
        </w:rPr>
        <w:t>(</w:t>
      </w:r>
      <w:r w:rsidRPr="002459F0">
        <w:rPr>
          <w:rFonts w:ascii="Calibri"/>
        </w:rPr>
        <w:t>30%</w:t>
      </w:r>
      <w:r w:rsidR="00FB49DE">
        <w:rPr>
          <w:rFonts w:ascii="Calibri"/>
        </w:rPr>
        <w:t>)</w:t>
      </w:r>
      <w:r w:rsidRPr="002459F0">
        <w:rPr>
          <w:rFonts w:ascii="Calibri"/>
        </w:rPr>
        <w:t xml:space="preserve"> of the high-cost drug pool, but its CY22 expenditures for high-cost drugs reflects</w:t>
      </w:r>
      <w:r w:rsidR="00FB49DE">
        <w:rPr>
          <w:rFonts w:ascii="Calibri"/>
        </w:rPr>
        <w:t xml:space="preserve"> thirty-five</w:t>
      </w:r>
      <w:r w:rsidRPr="002459F0">
        <w:rPr>
          <w:rFonts w:ascii="Calibri"/>
        </w:rPr>
        <w:t xml:space="preserve"> </w:t>
      </w:r>
      <w:r w:rsidR="00FB49DE">
        <w:rPr>
          <w:rFonts w:ascii="Calibri"/>
        </w:rPr>
        <w:t>(</w:t>
      </w:r>
      <w:r w:rsidRPr="002459F0">
        <w:rPr>
          <w:rFonts w:ascii="Calibri"/>
        </w:rPr>
        <w:t>35%</w:t>
      </w:r>
      <w:r w:rsidR="00FB49DE">
        <w:rPr>
          <w:rFonts w:ascii="Calibri"/>
        </w:rPr>
        <w:t>)</w:t>
      </w:r>
      <w:r w:rsidRPr="002459F0">
        <w:rPr>
          <w:rFonts w:ascii="Calibri"/>
        </w:rPr>
        <w:t xml:space="preserve"> of the statewide CY22 expenditures. In this scenario, the MCO would receive a payment of </w:t>
      </w:r>
      <w:r w:rsidR="00FB49DE">
        <w:rPr>
          <w:rFonts w:ascii="Calibri"/>
        </w:rPr>
        <w:t>five percent (</w:t>
      </w:r>
      <w:r w:rsidRPr="002459F0">
        <w:rPr>
          <w:rFonts w:ascii="Calibri"/>
        </w:rPr>
        <w:t>5%</w:t>
      </w:r>
      <w:r w:rsidR="00FB49DE">
        <w:rPr>
          <w:rFonts w:ascii="Calibri"/>
        </w:rPr>
        <w:t>)</w:t>
      </w:r>
      <w:r w:rsidRPr="002459F0">
        <w:rPr>
          <w:rFonts w:ascii="Calibri"/>
        </w:rPr>
        <w:t xml:space="preserve"> (</w:t>
      </w:r>
      <w:proofErr w:type="gramStart"/>
      <w:r w:rsidR="00FB49DE">
        <w:rPr>
          <w:rFonts w:ascii="Calibri"/>
        </w:rPr>
        <w:t>thirty-</w:t>
      </w:r>
      <w:proofErr w:type="gramEnd"/>
      <w:r w:rsidR="00FB49DE">
        <w:rPr>
          <w:rFonts w:ascii="Calibri"/>
        </w:rPr>
        <w:t>five percent (</w:t>
      </w:r>
      <w:r w:rsidRPr="002459F0">
        <w:rPr>
          <w:rFonts w:ascii="Calibri"/>
        </w:rPr>
        <w:t>35%</w:t>
      </w:r>
      <w:r w:rsidR="00FB49DE">
        <w:rPr>
          <w:rFonts w:ascii="Calibri"/>
        </w:rPr>
        <w:t>) minus thirty percent</w:t>
      </w:r>
      <w:r w:rsidRPr="002459F0">
        <w:rPr>
          <w:rFonts w:ascii="Calibri"/>
        </w:rPr>
        <w:t xml:space="preserve"> </w:t>
      </w:r>
      <w:r w:rsidR="00FB49DE">
        <w:rPr>
          <w:rFonts w:ascii="Calibri"/>
        </w:rPr>
        <w:t>(</w:t>
      </w:r>
      <w:r w:rsidRPr="002459F0">
        <w:rPr>
          <w:rFonts w:ascii="Calibri"/>
        </w:rPr>
        <w:t>30%</w:t>
      </w:r>
      <w:r w:rsidR="00FB49DE">
        <w:rPr>
          <w:rFonts w:ascii="Calibri"/>
        </w:rPr>
        <w:t>)</w:t>
      </w:r>
      <w:r w:rsidRPr="002459F0">
        <w:rPr>
          <w:rFonts w:ascii="Calibri"/>
        </w:rPr>
        <w:t xml:space="preserve">) of the total high-cost drug pool. Conversely, either one or two of the other MCOs would have to pay out the equivalent of the </w:t>
      </w:r>
      <w:r w:rsidR="00FB49DE">
        <w:rPr>
          <w:rFonts w:ascii="Calibri"/>
        </w:rPr>
        <w:t>five percent (</w:t>
      </w:r>
      <w:r w:rsidRPr="002459F0">
        <w:rPr>
          <w:rFonts w:ascii="Calibri"/>
        </w:rPr>
        <w:t>5%</w:t>
      </w:r>
      <w:r w:rsidR="00FB49DE">
        <w:rPr>
          <w:rFonts w:ascii="Calibri"/>
        </w:rPr>
        <w:t>)</w:t>
      </w:r>
      <w:r w:rsidRPr="002459F0">
        <w:rPr>
          <w:rFonts w:ascii="Calibri"/>
        </w:rPr>
        <w:t>.</w:t>
      </w:r>
    </w:p>
    <w:p w14:paraId="6790CB65" w14:textId="77777777" w:rsidR="00134682" w:rsidRDefault="00134682" w:rsidP="00134682">
      <w:pPr>
        <w:pStyle w:val="BodyText"/>
        <w:spacing w:before="1"/>
        <w:rPr>
          <w:rFonts w:ascii="Calibri"/>
        </w:rPr>
      </w:pPr>
    </w:p>
    <w:p w14:paraId="59B97154" w14:textId="77777777" w:rsidR="00F64D9F" w:rsidRPr="00134682" w:rsidRDefault="00F64D9F" w:rsidP="00134682"/>
    <w:sectPr w:rsidR="00F64D9F" w:rsidRPr="00134682">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E6B14B" w16cex:dateUtc="2022-03-24T13: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D6B7DC5" w16cid:durableId="25E6B14B"/>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0A4152"/>
    <w:multiLevelType w:val="hybridMultilevel"/>
    <w:tmpl w:val="6F92D432"/>
    <w:lvl w:ilvl="0" w:tplc="F9FCE190">
      <w:start w:val="1"/>
      <w:numFmt w:val="decimal"/>
      <w:lvlText w:val="%1."/>
      <w:lvlJc w:val="left"/>
      <w:pPr>
        <w:ind w:left="960" w:hanging="219"/>
        <w:jc w:val="left"/>
      </w:pPr>
      <w:rPr>
        <w:rFonts w:ascii="Calibri" w:eastAsia="Calibri" w:hAnsi="Calibri" w:cs="Calibri" w:hint="default"/>
        <w:b w:val="0"/>
        <w:bCs w:val="0"/>
        <w:i w:val="0"/>
        <w:iCs w:val="0"/>
        <w:w w:val="100"/>
        <w:sz w:val="22"/>
        <w:szCs w:val="22"/>
      </w:rPr>
    </w:lvl>
    <w:lvl w:ilvl="1" w:tplc="ED7409AA">
      <w:numFmt w:val="bullet"/>
      <w:lvlText w:val="•"/>
      <w:lvlJc w:val="left"/>
      <w:pPr>
        <w:ind w:left="1992" w:hanging="219"/>
      </w:pPr>
      <w:rPr>
        <w:rFonts w:hint="default"/>
      </w:rPr>
    </w:lvl>
    <w:lvl w:ilvl="2" w:tplc="137CE0E0">
      <w:numFmt w:val="bullet"/>
      <w:lvlText w:val="•"/>
      <w:lvlJc w:val="left"/>
      <w:pPr>
        <w:ind w:left="3024" w:hanging="219"/>
      </w:pPr>
      <w:rPr>
        <w:rFonts w:hint="default"/>
      </w:rPr>
    </w:lvl>
    <w:lvl w:ilvl="3" w:tplc="A6D25814">
      <w:numFmt w:val="bullet"/>
      <w:lvlText w:val="•"/>
      <w:lvlJc w:val="left"/>
      <w:pPr>
        <w:ind w:left="4056" w:hanging="219"/>
      </w:pPr>
      <w:rPr>
        <w:rFonts w:hint="default"/>
      </w:rPr>
    </w:lvl>
    <w:lvl w:ilvl="4" w:tplc="59A0B232">
      <w:numFmt w:val="bullet"/>
      <w:lvlText w:val="•"/>
      <w:lvlJc w:val="left"/>
      <w:pPr>
        <w:ind w:left="5088" w:hanging="219"/>
      </w:pPr>
      <w:rPr>
        <w:rFonts w:hint="default"/>
      </w:rPr>
    </w:lvl>
    <w:lvl w:ilvl="5" w:tplc="94F0687E">
      <w:numFmt w:val="bullet"/>
      <w:lvlText w:val="•"/>
      <w:lvlJc w:val="left"/>
      <w:pPr>
        <w:ind w:left="6120" w:hanging="219"/>
      </w:pPr>
      <w:rPr>
        <w:rFonts w:hint="default"/>
      </w:rPr>
    </w:lvl>
    <w:lvl w:ilvl="6" w:tplc="2FBEDB68">
      <w:numFmt w:val="bullet"/>
      <w:lvlText w:val="•"/>
      <w:lvlJc w:val="left"/>
      <w:pPr>
        <w:ind w:left="7152" w:hanging="219"/>
      </w:pPr>
      <w:rPr>
        <w:rFonts w:hint="default"/>
      </w:rPr>
    </w:lvl>
    <w:lvl w:ilvl="7" w:tplc="D33E7AD0">
      <w:numFmt w:val="bullet"/>
      <w:lvlText w:val="•"/>
      <w:lvlJc w:val="left"/>
      <w:pPr>
        <w:ind w:left="8184" w:hanging="219"/>
      </w:pPr>
      <w:rPr>
        <w:rFonts w:hint="default"/>
      </w:rPr>
    </w:lvl>
    <w:lvl w:ilvl="8" w:tplc="0E70220A">
      <w:numFmt w:val="bullet"/>
      <w:lvlText w:val="•"/>
      <w:lvlJc w:val="left"/>
      <w:pPr>
        <w:ind w:left="9216" w:hanging="219"/>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1F58"/>
    <w:rsid w:val="00021071"/>
    <w:rsid w:val="0005772A"/>
    <w:rsid w:val="0012270D"/>
    <w:rsid w:val="00134682"/>
    <w:rsid w:val="00151F58"/>
    <w:rsid w:val="00406B5D"/>
    <w:rsid w:val="00603D70"/>
    <w:rsid w:val="006E4CBA"/>
    <w:rsid w:val="00A067D3"/>
    <w:rsid w:val="00AB48BD"/>
    <w:rsid w:val="00C1400B"/>
    <w:rsid w:val="00E541AC"/>
    <w:rsid w:val="00E638C6"/>
    <w:rsid w:val="00F64D9F"/>
    <w:rsid w:val="00F96C1D"/>
    <w:rsid w:val="00FB49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970B6"/>
  <w15:chartTrackingRefBased/>
  <w15:docId w15:val="{9DD407C2-7B65-4512-A759-5E63CEC9E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151F58"/>
    <w:pPr>
      <w:widowControl w:val="0"/>
      <w:autoSpaceDE w:val="0"/>
      <w:autoSpaceDN w:val="0"/>
      <w:spacing w:after="0" w:line="240" w:lineRule="auto"/>
    </w:pPr>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151F58"/>
  </w:style>
  <w:style w:type="character" w:customStyle="1" w:styleId="BodyTextChar">
    <w:name w:val="Body Text Char"/>
    <w:basedOn w:val="DefaultParagraphFont"/>
    <w:link w:val="BodyText"/>
    <w:uiPriority w:val="1"/>
    <w:rsid w:val="00151F58"/>
    <w:rPr>
      <w:rFonts w:ascii="Arial" w:eastAsia="Arial" w:hAnsi="Arial" w:cs="Arial"/>
    </w:rPr>
  </w:style>
  <w:style w:type="paragraph" w:styleId="ListParagraph">
    <w:name w:val="List Paragraph"/>
    <w:basedOn w:val="Normal"/>
    <w:uiPriority w:val="1"/>
    <w:qFormat/>
    <w:rsid w:val="00151F58"/>
    <w:pPr>
      <w:ind w:left="960" w:hanging="365"/>
    </w:pPr>
  </w:style>
  <w:style w:type="paragraph" w:customStyle="1" w:styleId="TableParagraph">
    <w:name w:val="Table Paragraph"/>
    <w:basedOn w:val="Normal"/>
    <w:uiPriority w:val="1"/>
    <w:qFormat/>
    <w:rsid w:val="00151F58"/>
  </w:style>
  <w:style w:type="paragraph" w:styleId="NoSpacing">
    <w:name w:val="No Spacing"/>
    <w:uiPriority w:val="1"/>
    <w:qFormat/>
    <w:rsid w:val="00A067D3"/>
    <w:pPr>
      <w:spacing w:after="0" w:line="240" w:lineRule="auto"/>
    </w:pPr>
  </w:style>
  <w:style w:type="character" w:styleId="CommentReference">
    <w:name w:val="annotation reference"/>
    <w:basedOn w:val="DefaultParagraphFont"/>
    <w:uiPriority w:val="99"/>
    <w:semiHidden/>
    <w:unhideWhenUsed/>
    <w:rsid w:val="00C1400B"/>
    <w:rPr>
      <w:sz w:val="16"/>
      <w:szCs w:val="16"/>
    </w:rPr>
  </w:style>
  <w:style w:type="paragraph" w:styleId="CommentText">
    <w:name w:val="annotation text"/>
    <w:basedOn w:val="Normal"/>
    <w:link w:val="CommentTextChar"/>
    <w:uiPriority w:val="99"/>
    <w:semiHidden/>
    <w:unhideWhenUsed/>
    <w:rsid w:val="00C1400B"/>
    <w:rPr>
      <w:sz w:val="20"/>
      <w:szCs w:val="20"/>
    </w:rPr>
  </w:style>
  <w:style w:type="character" w:customStyle="1" w:styleId="CommentTextChar">
    <w:name w:val="Comment Text Char"/>
    <w:basedOn w:val="DefaultParagraphFont"/>
    <w:link w:val="CommentText"/>
    <w:uiPriority w:val="99"/>
    <w:semiHidden/>
    <w:rsid w:val="00C1400B"/>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C1400B"/>
    <w:rPr>
      <w:b/>
      <w:bCs/>
    </w:rPr>
  </w:style>
  <w:style w:type="character" w:customStyle="1" w:styleId="CommentSubjectChar">
    <w:name w:val="Comment Subject Char"/>
    <w:basedOn w:val="CommentTextChar"/>
    <w:link w:val="CommentSubject"/>
    <w:uiPriority w:val="99"/>
    <w:semiHidden/>
    <w:rsid w:val="00C1400B"/>
    <w:rPr>
      <w:rFonts w:ascii="Arial" w:eastAsia="Arial" w:hAnsi="Arial" w:cs="Arial"/>
      <w:b/>
      <w:bCs/>
      <w:sz w:val="20"/>
      <w:szCs w:val="20"/>
    </w:rPr>
  </w:style>
  <w:style w:type="paragraph" w:styleId="BalloonText">
    <w:name w:val="Balloon Text"/>
    <w:basedOn w:val="Normal"/>
    <w:link w:val="BalloonTextChar"/>
    <w:uiPriority w:val="99"/>
    <w:semiHidden/>
    <w:unhideWhenUsed/>
    <w:rsid w:val="00C1400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400B"/>
    <w:rPr>
      <w:rFonts w:ascii="Segoe UI" w:eastAsia="Arial"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8/08/relationships/commentsExtensible" Target="commentsExtensible.xml"/><Relationship Id="rId5" Type="http://schemas.openxmlformats.org/officeDocument/2006/relationships/styles" Target="styles.xml"/><Relationship Id="rId10" Type="http://schemas.microsoft.com/office/2016/09/relationships/commentsIds" Target="commentsId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Core Metadata" ma:contentTypeID="0x010100BAD75EA75CD83B45A34259F0B184D0270046BCFC8BEE9F164099E99F62FD0393EA" ma:contentTypeVersion="7" ma:contentTypeDescription="" ma:contentTypeScope="" ma:versionID="879b07787cd4b62fc3c827bf93f3e156">
  <xsd:schema xmlns:xsd="http://www.w3.org/2001/XMLSchema" xmlns:xs="http://www.w3.org/2001/XMLSchema" xmlns:p="http://schemas.microsoft.com/office/2006/metadata/properties" xmlns:ns2="bc904590-817d-4546-93c9-e39b499093cd" xmlns:ns3="32249c65-da49-47e9-984a-f0159a6f027c" targetNamespace="http://schemas.microsoft.com/office/2006/metadata/properties" ma:root="true" ma:fieldsID="a670512e9556da20a2d2db0e1844b363" ns2:_="" ns3:_="">
    <xsd:import namespace="bc904590-817d-4546-93c9-e39b499093cd"/>
    <xsd:import namespace="32249c65-da49-47e9-984a-f0159a6f027c"/>
    <xsd:element name="properties">
      <xsd:complexType>
        <xsd:sequence>
          <xsd:element name="documentManagement">
            <xsd:complexType>
              <xsd:all>
                <xsd:element ref="ns3:SharedWithUsers"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904590-817d-4546-93c9-e39b499093cd" elementFormDefault="qualified">
    <xsd:import namespace="http://schemas.microsoft.com/office/2006/documentManagement/types"/>
    <xsd:import namespace="http://schemas.microsoft.com/office/infopath/2007/PartnerControls"/>
    <xsd:element name="Category" ma:index="10" nillable="true" ma:displayName="Category" ma:default="SOAR 2024" ma:format="Dropdown" ma:internalName="Category">
      <xsd:simpleType>
        <xsd:union memberTypes="dms:Text">
          <xsd:simpleType>
            <xsd:restriction base="dms:Choice">
              <xsd:enumeration value="Landing Page"/>
              <xsd:enumeration value="Grants Page"/>
              <xsd:enumeration value="Ongoing Grants"/>
              <xsd:enumeration value="RFA 5356 DD"/>
              <xsd:enumeration value="RFA 5486 SOAR"/>
              <xsd:enumeration value="RFA 4461 CFS DV &amp; SA"/>
              <xsd:enumeration value="RFA 5626 Food Security"/>
              <xsd:enumeration value="RFA 5622 Food Bank"/>
              <xsd:enumeration value="RFA 5699 Clearinghouse"/>
              <xsd:enumeration value="RFA 3934 SNAP"/>
              <xsd:enumeration value="RFA 5669 PHHS Block Grants"/>
              <xsd:enumeration value="RFA 4693 Stem Cell"/>
              <xsd:enumeration value="RFI 5329 MLTC A&amp;D Networks"/>
              <xsd:enumeration value="Contracts Page"/>
              <xsd:enumeration value="Ongoing Contracts"/>
              <xsd:enumeration value="RFQ iServe"/>
              <xsd:enumeration value="RFQ 5515 Tiered Foster Care"/>
              <xsd:enumeration value="RFQ Interpreters"/>
              <xsd:enumeration value="RFP MCO"/>
              <xsd:enumeration value="Funding Announcement - Lifespan"/>
              <xsd:enumeration value="Other"/>
              <xsd:enumeration value="RFQ NHAP"/>
              <xsd:enumeration value="AccessNe"/>
              <xsd:enumeration value="Serve Nebraska"/>
              <xsd:enumeration value="Vaccines for Children"/>
              <xsd:enumeration value="5553 Transitional Living Housing"/>
              <xsd:enumeration value="6124 NCDD HCBS"/>
              <xsd:enumeration value="6129 Employment Focus"/>
              <xsd:enumeration value="6137 NCDD Opportunity"/>
              <xsd:enumeration value="5965 SNAP E&amp;T"/>
              <xsd:enumeration value="6327 NDCC Opportunity"/>
              <xsd:enumeration value="6038 NDCC home and community"/>
              <xsd:enumeration value="NHAP 2024"/>
              <xsd:enumeration value="SOAR 2024"/>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32249c65-da49-47e9-984a-f0159a6f027c" elementFormDefault="qualified">
    <xsd:import namespace="http://schemas.microsoft.com/office/2006/documentManagement/types"/>
    <xsd:import namespace="http://schemas.microsoft.com/office/infopath/2007/PartnerControls"/>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ategory xmlns="bc904590-817d-4546-93c9-e39b499093cd" xsi:nil="true"/>
    <SharedWithUsers xmlns="32249c65-da49-47e9-984a-f0159a6f027c">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D18DABA-F62F-4576-A464-79A2AD27DF5C}"/>
</file>

<file path=customXml/itemProps2.xml><?xml version="1.0" encoding="utf-8"?>
<ds:datastoreItem xmlns:ds="http://schemas.openxmlformats.org/officeDocument/2006/customXml" ds:itemID="{17194E70-6079-4D18-8E4E-CFFEF44195F5}"/>
</file>

<file path=customXml/itemProps3.xml><?xml version="1.0" encoding="utf-8"?>
<ds:datastoreItem xmlns:ds="http://schemas.openxmlformats.org/officeDocument/2006/customXml" ds:itemID="{CDB5E24A-6421-471C-B124-FCA577DEDA14}"/>
</file>

<file path=docProps/app.xml><?xml version="1.0" encoding="utf-8"?>
<Properties xmlns="http://schemas.openxmlformats.org/officeDocument/2006/extended-properties" xmlns:vt="http://schemas.openxmlformats.org/officeDocument/2006/docPropsVTypes">
  <Template>Normal</Template>
  <TotalTime>55</TotalTime>
  <Pages>4</Pages>
  <Words>1057</Words>
  <Characters>6026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State of Nebraska</Company>
  <LinksUpToDate>false</LinksUpToDate>
  <CharactersWithSpaces>7069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Kristine Radke</dc:creator>
  <cp:keywords/>
  <dc:description/>
  <cp:lastModifiedBy>Jennifer Crouse</cp:lastModifiedBy>
  <cp:revision>13</cp:revision>
  <dcterms:created xsi:type="dcterms:W3CDTF">2022-01-24T15:38:00Z</dcterms:created>
  <dcterms:modified xsi:type="dcterms:W3CDTF">2022-04-12T11:57:00Z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0x010100BAD75EA75CD83B45A34259F0B184D0270046BCFC8BEE9F164099E99F62FD0393EA</vt:lpwstr>
  </property>
  <property fmtid="{D5CDD505-2E9C-101B-9397-08002B2CF9AE}" pid="3" name="_AdHocReviewCycleID">
    <vt:i4>6018404</vt:i4>
  </property>
  <property fmtid="{D5CDD505-2E9C-101B-9397-08002B2CF9AE}" pid="4" name="_NewReviewCycle">
    <vt:lpwstr/>
  </property>
  <property fmtid="{D5CDD505-2E9C-101B-9397-08002B2CF9AE}" pid="5" name="_EmailSubject">
    <vt:lpwstr>112209 O3 Managed Care Program</vt:lpwstr>
  </property>
  <property fmtid="{D5CDD505-2E9C-101B-9397-08002B2CF9AE}" pid="6" name="_AuthorEmail">
    <vt:lpwstr>Jennifer.Crouse@nebraska.gov</vt:lpwstr>
  </property>
  <property fmtid="{D5CDD505-2E9C-101B-9397-08002B2CF9AE}" pid="7" name="_AuthorEmailDisplayName">
    <vt:lpwstr>Crouse, Jennifer</vt:lpwstr>
  </property>
  <property fmtid="{D5CDD505-2E9C-101B-9397-08002B2CF9AE}" pid="8" name="Order">
    <vt:r8>43700</vt:r8>
  </property>
  <property fmtid="{D5CDD505-2E9C-101B-9397-08002B2CF9AE}" pid="9" name="xd_Signature">
    <vt:bool>false</vt:bool>
  </property>
  <property fmtid="{D5CDD505-2E9C-101B-9397-08002B2CF9AE}" pid="10" name="xd_ProgID">
    <vt:lpwstr/>
  </property>
  <property fmtid="{D5CDD505-2E9C-101B-9397-08002B2CF9AE}" pid="11" name="_SourceUrl">
    <vt:lpwstr/>
  </property>
  <property fmtid="{D5CDD505-2E9C-101B-9397-08002B2CF9AE}" pid="12" name="_SharedFileIndex">
    <vt:lpwstr/>
  </property>
  <property fmtid="{D5CDD505-2E9C-101B-9397-08002B2CF9AE}" pid="13" name="TemplateUrl">
    <vt:lpwstr/>
  </property>
  <property fmtid="{D5CDD505-2E9C-101B-9397-08002B2CF9AE}" pid="14" name="ComplianceAssetId">
    <vt:lpwstr/>
  </property>
</Properties>
</file>