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B70A" w14:textId="2D7E6D6A" w:rsidR="00C64A6E" w:rsidRDefault="00714DF8">
      <w:pPr>
        <w:pStyle w:val="NoSpacing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112209 O3</w:t>
      </w:r>
      <w:bookmarkStart w:id="0" w:name="_GoBack"/>
      <w:bookmarkEnd w:id="0"/>
    </w:p>
    <w:p w14:paraId="24389078" w14:textId="0D943642" w:rsidR="005B16AD" w:rsidRDefault="007505DB">
      <w:pPr>
        <w:pStyle w:val="NoSpacing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Attachment 6</w:t>
      </w:r>
      <w:r w:rsidR="00F5689D">
        <w:rPr>
          <w:rFonts w:ascii="Arial" w:hAnsi="Arial" w:cs="Arial"/>
          <w:sz w:val="28"/>
        </w:rPr>
        <w:t xml:space="preserve"> – QPPs</w:t>
      </w:r>
    </w:p>
    <w:p w14:paraId="64589C8A" w14:textId="77777777" w:rsidR="00F5689D" w:rsidRDefault="00F5689D">
      <w:pPr>
        <w:pStyle w:val="NoSpacing"/>
        <w:jc w:val="center"/>
        <w:rPr>
          <w:rFonts w:ascii="Arial" w:hAnsi="Arial" w:cs="Arial"/>
          <w:sz w:val="28"/>
        </w:rPr>
      </w:pPr>
    </w:p>
    <w:p w14:paraId="290B1181" w14:textId="09F23395" w:rsidR="005B16AD" w:rsidRDefault="00F334AA">
      <w:pPr>
        <w:pStyle w:val="NoSpacing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Quality Performance Pr</w:t>
      </w:r>
      <w:r w:rsidR="0034632A">
        <w:rPr>
          <w:rFonts w:ascii="Arial" w:hAnsi="Arial" w:cs="Arial"/>
          <w:sz w:val="28"/>
        </w:rPr>
        <w:t xml:space="preserve">ogram Measures – Contract Year </w:t>
      </w:r>
      <w:r w:rsidR="00D40492">
        <w:rPr>
          <w:rFonts w:ascii="Arial" w:hAnsi="Arial" w:cs="Arial"/>
          <w:sz w:val="28"/>
        </w:rPr>
        <w:t>Six</w:t>
      </w:r>
    </w:p>
    <w:p w14:paraId="2BB1980C" w14:textId="77777777" w:rsidR="00F5689D" w:rsidRDefault="00F5689D">
      <w:pPr>
        <w:pStyle w:val="NoSpacing"/>
        <w:jc w:val="center"/>
        <w:rPr>
          <w:rFonts w:ascii="Arial" w:hAnsi="Arial" w:cs="Arial"/>
          <w:sz w:val="28"/>
        </w:rPr>
      </w:pPr>
    </w:p>
    <w:p w14:paraId="41F35563" w14:textId="50468B9F" w:rsidR="001F1384" w:rsidRDefault="001F1384">
      <w:pPr>
        <w:pStyle w:val="NoSpacing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*This is an example from the current MCO contract.  This may not necessarily reflect the QPP for the awarded contract.</w:t>
      </w:r>
    </w:p>
    <w:p w14:paraId="28AB4766" w14:textId="77777777" w:rsidR="005B16AD" w:rsidRDefault="005B16AD">
      <w:pPr>
        <w:pStyle w:val="NoSpacing"/>
      </w:pPr>
    </w:p>
    <w:p w14:paraId="4DDEDD1C" w14:textId="77777777" w:rsidR="005B16AD" w:rsidRDefault="005B16AD">
      <w:pPr>
        <w:pStyle w:val="NoSpacing"/>
      </w:pPr>
    </w:p>
    <w:tbl>
      <w:tblPr>
        <w:tblStyle w:val="TableGrid"/>
        <w:tblW w:w="14132" w:type="dxa"/>
        <w:tblLook w:val="04A0" w:firstRow="1" w:lastRow="0" w:firstColumn="1" w:lastColumn="0" w:noHBand="0" w:noVBand="1"/>
      </w:tblPr>
      <w:tblGrid>
        <w:gridCol w:w="5484"/>
        <w:gridCol w:w="3331"/>
        <w:gridCol w:w="3331"/>
        <w:gridCol w:w="1986"/>
      </w:tblGrid>
      <w:tr w:rsidR="00D343DC" w14:paraId="3F7216DF" w14:textId="77777777" w:rsidTr="00D343DC">
        <w:trPr>
          <w:trHeight w:val="282"/>
        </w:trPr>
        <w:tc>
          <w:tcPr>
            <w:tcW w:w="548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D558D4" w14:textId="77777777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Base Performance Requirement</w:t>
            </w:r>
          </w:p>
        </w:tc>
        <w:tc>
          <w:tcPr>
            <w:tcW w:w="3331" w:type="dxa"/>
            <w:shd w:val="clear" w:color="auto" w:fill="D9D9D9" w:themeFill="background1" w:themeFillShade="D9"/>
            <w:vAlign w:val="center"/>
          </w:tcPr>
          <w:p w14:paraId="6C5B187B" w14:textId="18EB64C4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40% Payment Threshold</w:t>
            </w:r>
          </w:p>
        </w:tc>
        <w:tc>
          <w:tcPr>
            <w:tcW w:w="333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BDBF2B" w14:textId="3B93AFD6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Full </w:t>
            </w: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Payment Threshold</w:t>
            </w:r>
          </w:p>
        </w:tc>
        <w:tc>
          <w:tcPr>
            <w:tcW w:w="198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5B9BBA" w14:textId="77777777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% of Payment Pool</w:t>
            </w:r>
          </w:p>
        </w:tc>
      </w:tr>
      <w:tr w:rsidR="00D343DC" w14:paraId="66B1C9A2" w14:textId="77777777" w:rsidTr="00D343DC">
        <w:trPr>
          <w:trHeight w:val="1560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558E970B" w14:textId="6763E1B8" w:rsidR="00D343DC" w:rsidRDefault="00D343DC" w:rsidP="004027BF">
            <w:pPr>
              <w:spacing w:after="0" w:line="240" w:lineRule="auto"/>
              <w:rPr>
                <w:rFonts w:cs="Calibri"/>
                <w:color w:val="000000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Claims Processing Timeliness - 15 Days:</w:t>
            </w:r>
            <w:r w:rsidRPr="00CB2FC9">
              <w:rPr>
                <w:rFonts w:cs="Calibri"/>
                <w:color w:val="000000"/>
              </w:rPr>
              <w:t xml:space="preserve"> </w:t>
            </w:r>
            <w:r w:rsidRPr="004577B5">
              <w:rPr>
                <w:rFonts w:ascii="Arial" w:hAnsi="Arial" w:cs="Arial"/>
                <w:color w:val="000000"/>
              </w:rPr>
              <w:t>Process and pay or deny, as appropriate, at least</w:t>
            </w:r>
            <w:r w:rsidR="007505DB">
              <w:rPr>
                <w:rFonts w:ascii="Arial" w:hAnsi="Arial" w:cs="Arial"/>
                <w:color w:val="000000"/>
              </w:rPr>
              <w:t xml:space="preserve"> ninety percent</w:t>
            </w:r>
            <w:r w:rsidRPr="004577B5">
              <w:rPr>
                <w:rFonts w:ascii="Arial" w:hAnsi="Arial" w:cs="Arial"/>
                <w:color w:val="000000"/>
              </w:rPr>
              <w:t xml:space="preserve"> </w:t>
            </w:r>
            <w:r w:rsidR="007505DB">
              <w:rPr>
                <w:rFonts w:ascii="Arial" w:hAnsi="Arial" w:cs="Arial"/>
                <w:color w:val="000000"/>
              </w:rPr>
              <w:t>(</w:t>
            </w:r>
            <w:r w:rsidRPr="004577B5">
              <w:rPr>
                <w:rFonts w:ascii="Arial" w:hAnsi="Arial" w:cs="Arial"/>
                <w:color w:val="000000"/>
              </w:rPr>
              <w:t>90%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of all claims for medical services provided to members within </w:t>
            </w:r>
            <w:r w:rsidR="007505DB">
              <w:rPr>
                <w:rFonts w:ascii="Arial" w:hAnsi="Arial" w:cs="Arial"/>
                <w:color w:val="000000"/>
              </w:rPr>
              <w:t>fifteen (</w:t>
            </w:r>
            <w:r w:rsidRPr="004577B5">
              <w:rPr>
                <w:rFonts w:ascii="Arial" w:hAnsi="Arial" w:cs="Arial"/>
                <w:color w:val="000000"/>
              </w:rPr>
              <w:t>15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days of the date of receipt. The date of receipt is the date the MCO receives the clean claim.</w:t>
            </w:r>
          </w:p>
          <w:p w14:paraId="16E43CDC" w14:textId="19CFD798" w:rsidR="00D343DC" w:rsidRDefault="00D343DC" w:rsidP="00024DAB">
            <w:pPr>
              <w:spacing w:after="0" w:line="240" w:lineRule="auto"/>
            </w:pPr>
          </w:p>
        </w:tc>
        <w:tc>
          <w:tcPr>
            <w:tcW w:w="3331" w:type="dxa"/>
            <w:vAlign w:val="center"/>
          </w:tcPr>
          <w:p w14:paraId="5CBB5DBE" w14:textId="0404B589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4CFF8136" w14:textId="7DC72AA1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95% within 10 business days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010CE4CA" w14:textId="283E0560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D343DC" w14:paraId="757A2EB5" w14:textId="77777777" w:rsidTr="00D343DC">
        <w:trPr>
          <w:trHeight w:val="1019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5BFCDBBA" w14:textId="35844AE4" w:rsidR="00D343DC" w:rsidRDefault="00D343DC" w:rsidP="004027BF">
            <w:pPr>
              <w:pStyle w:val="NoSpacing"/>
              <w:rPr>
                <w:rFonts w:cs="Calibri"/>
                <w:color w:val="000000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Encounter Acceptance Rate: </w:t>
            </w:r>
            <w:r w:rsidRPr="004577B5">
              <w:rPr>
                <w:rFonts w:ascii="Arial" w:hAnsi="Arial" w:cs="Arial"/>
                <w:color w:val="000000"/>
              </w:rPr>
              <w:t xml:space="preserve">Submitted encounters must be accepted </w:t>
            </w:r>
            <w:r w:rsidR="007505DB">
              <w:rPr>
                <w:rFonts w:ascii="Arial" w:hAnsi="Arial" w:cs="Arial"/>
                <w:color w:val="000000"/>
              </w:rPr>
              <w:t>ninety-five percent (</w:t>
            </w:r>
            <w:r w:rsidRPr="004577B5">
              <w:rPr>
                <w:rFonts w:ascii="Arial" w:hAnsi="Arial" w:cs="Arial"/>
                <w:color w:val="000000"/>
              </w:rPr>
              <w:t>95%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or greater by MLTC’s Medicaid Management Information System pursuant to MLTC specifications.</w:t>
            </w:r>
          </w:p>
          <w:p w14:paraId="4D914B28" w14:textId="320DF1AA" w:rsidR="00D343DC" w:rsidRDefault="00D343DC">
            <w:pPr>
              <w:pStyle w:val="NoSpacing"/>
            </w:pPr>
          </w:p>
        </w:tc>
        <w:tc>
          <w:tcPr>
            <w:tcW w:w="3331" w:type="dxa"/>
            <w:vAlign w:val="center"/>
          </w:tcPr>
          <w:p w14:paraId="25BC49EF" w14:textId="71779FA7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59FD13C6" w14:textId="1B083A96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98%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5CEC6F64" w14:textId="6339EC6A" w:rsidR="00D343DC" w:rsidRPr="004577B5" w:rsidRDefault="00D343DC" w:rsidP="00D40492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</w:tr>
      <w:tr w:rsidR="00D343DC" w14:paraId="5D0158FA" w14:textId="77777777" w:rsidTr="00D343DC">
        <w:trPr>
          <w:trHeight w:val="1520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254FC969" w14:textId="7B46AF6C" w:rsidR="00D343DC" w:rsidRPr="004577B5" w:rsidRDefault="00D343DC" w:rsidP="004027BF">
            <w:pPr>
              <w:pStyle w:val="NoSpacing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Appeal Resolution Timeliness:</w:t>
            </w:r>
            <w:r w:rsidRPr="00CB2FC9">
              <w:rPr>
                <w:rFonts w:cs="Calibri"/>
                <w:b/>
                <w:bCs/>
                <w:color w:val="000000"/>
              </w:rPr>
              <w:t xml:space="preserve"> </w:t>
            </w:r>
            <w:r w:rsidRPr="004577B5">
              <w:rPr>
                <w:rFonts w:ascii="Arial" w:hAnsi="Arial" w:cs="Arial"/>
                <w:color w:val="000000"/>
              </w:rPr>
              <w:t xml:space="preserve">MCO must resolve each appeal, and provide notice, as expeditiously as the member’s health condition requires, within </w:t>
            </w:r>
            <w:r w:rsidR="007505DB">
              <w:rPr>
                <w:rFonts w:ascii="Arial" w:hAnsi="Arial" w:cs="Arial"/>
                <w:color w:val="000000"/>
              </w:rPr>
              <w:t>forty-five (</w:t>
            </w:r>
            <w:r w:rsidRPr="004577B5">
              <w:rPr>
                <w:rFonts w:ascii="Arial" w:hAnsi="Arial" w:cs="Arial"/>
                <w:color w:val="000000"/>
              </w:rPr>
              <w:t>45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calendar days from the day the MCO receives the appeal.</w:t>
            </w:r>
          </w:p>
          <w:p w14:paraId="6B5EDEB8" w14:textId="5077F71C" w:rsidR="00D343DC" w:rsidRDefault="00D343DC">
            <w:pPr>
              <w:pStyle w:val="NoSpacing"/>
            </w:pPr>
          </w:p>
        </w:tc>
        <w:tc>
          <w:tcPr>
            <w:tcW w:w="3331" w:type="dxa"/>
            <w:vAlign w:val="center"/>
          </w:tcPr>
          <w:p w14:paraId="4E79E20D" w14:textId="1BBF5677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31933A8C" w14:textId="436D2D91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95% within 20 days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7839D084" w14:textId="77777777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D343DC" w14:paraId="6F01B508" w14:textId="77777777" w:rsidTr="00D343DC">
        <w:trPr>
          <w:trHeight w:val="1285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3DDF7A65" w14:textId="4DBF89CE" w:rsidR="00D343DC" w:rsidRDefault="00D343DC">
            <w:pPr>
              <w:pStyle w:val="NoSpacing"/>
              <w:rPr>
                <w:rFonts w:ascii="Calibri" w:hAnsi="Calibri" w:cs="Calibri"/>
                <w:b/>
                <w:bCs/>
                <w:color w:val="000000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Breast Cancer Screening (BCS-AD):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4577B5">
              <w:rPr>
                <w:rFonts w:ascii="Arial" w:hAnsi="Arial" w:cs="Arial"/>
                <w:color w:val="000000"/>
              </w:rPr>
              <w:t xml:space="preserve">Percentage of women ages </w:t>
            </w:r>
            <w:r w:rsidR="007505DB">
              <w:rPr>
                <w:rFonts w:ascii="Arial" w:hAnsi="Arial" w:cs="Arial"/>
                <w:color w:val="000000"/>
              </w:rPr>
              <w:t>fifty (</w:t>
            </w:r>
            <w:r w:rsidRPr="004577B5">
              <w:rPr>
                <w:rFonts w:ascii="Arial" w:hAnsi="Arial" w:cs="Arial"/>
                <w:color w:val="000000"/>
              </w:rPr>
              <w:t>50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to </w:t>
            </w:r>
            <w:r w:rsidR="007505DB">
              <w:rPr>
                <w:rFonts w:ascii="Arial" w:hAnsi="Arial" w:cs="Arial"/>
                <w:color w:val="000000"/>
              </w:rPr>
              <w:t>seventy-four (</w:t>
            </w:r>
            <w:r w:rsidRPr="004577B5">
              <w:rPr>
                <w:rFonts w:ascii="Arial" w:hAnsi="Arial" w:cs="Arial"/>
                <w:color w:val="000000"/>
              </w:rPr>
              <w:t>74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who had a mammogram to screen for breast cancer.</w:t>
            </w:r>
          </w:p>
        </w:tc>
        <w:tc>
          <w:tcPr>
            <w:tcW w:w="3331" w:type="dxa"/>
            <w:vAlign w:val="center"/>
          </w:tcPr>
          <w:p w14:paraId="5951343E" w14:textId="426D49B2" w:rsidR="00D343DC" w:rsidRDefault="00D343DC" w:rsidP="00D343D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53.93%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312E80BF" w14:textId="34E1E66A" w:rsidR="00D343DC" w:rsidRPr="004577B5" w:rsidRDefault="00D343DC" w:rsidP="004834E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56.72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2E4A2F34" w14:textId="44B3334F" w:rsidR="00D343DC" w:rsidRPr="004577B5" w:rsidRDefault="00D343DC" w:rsidP="005873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D343DC" w14:paraId="5677C9BB" w14:textId="77777777" w:rsidTr="00D343DC">
        <w:trPr>
          <w:trHeight w:val="3835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7C70F9C8" w14:textId="679E9754" w:rsidR="00D343DC" w:rsidRDefault="00D343DC">
            <w:pPr>
              <w:pStyle w:val="NoSpacing"/>
              <w:rPr>
                <w:rFonts w:ascii="Calibri" w:hAnsi="Calibri" w:cs="Calibri"/>
                <w:b/>
                <w:bCs/>
                <w:color w:val="000000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Prenatal and Postpartum Care: Postpartum Care (PPC-AD):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4577B5">
              <w:rPr>
                <w:rFonts w:ascii="Arial" w:hAnsi="Arial" w:cs="Arial"/>
                <w:color w:val="000000"/>
              </w:rPr>
              <w:t xml:space="preserve">Percentage of deliveries of live births on or between October 8 of the year prior to the measurement year and October 7 of the measurement year that had a postpartum visit on or between </w:t>
            </w:r>
            <w:r w:rsidR="007505DB">
              <w:rPr>
                <w:rFonts w:ascii="Arial" w:hAnsi="Arial" w:cs="Arial"/>
                <w:color w:val="000000"/>
              </w:rPr>
              <w:t>seven (</w:t>
            </w:r>
            <w:r w:rsidRPr="004577B5">
              <w:rPr>
                <w:rFonts w:ascii="Arial" w:hAnsi="Arial" w:cs="Arial"/>
                <w:color w:val="000000"/>
              </w:rPr>
              <w:t>7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and </w:t>
            </w:r>
            <w:r w:rsidR="007505DB">
              <w:rPr>
                <w:rFonts w:ascii="Arial" w:hAnsi="Arial" w:cs="Arial"/>
                <w:color w:val="000000"/>
              </w:rPr>
              <w:t>eighty-four (</w:t>
            </w:r>
            <w:r w:rsidRPr="004577B5">
              <w:rPr>
                <w:rFonts w:ascii="Arial" w:hAnsi="Arial" w:cs="Arial"/>
                <w:color w:val="000000"/>
              </w:rPr>
              <w:t>84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days after delivery.</w:t>
            </w:r>
          </w:p>
        </w:tc>
        <w:tc>
          <w:tcPr>
            <w:tcW w:w="3331" w:type="dxa"/>
            <w:vAlign w:val="center"/>
          </w:tcPr>
          <w:p w14:paraId="1CCE9C02" w14:textId="316EBEA8" w:rsidR="00D343DC" w:rsidRDefault="00D343DC" w:rsidP="00D343D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76.4%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3C761603" w14:textId="1B4E1028" w:rsidR="00D343DC" w:rsidRPr="004577B5" w:rsidRDefault="00D343DC" w:rsidP="0025460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78.35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7B506676" w14:textId="3240D6BD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7.5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</w:tr>
      <w:tr w:rsidR="00D343DC" w14:paraId="209615C1" w14:textId="77777777" w:rsidTr="00D343DC">
        <w:trPr>
          <w:trHeight w:val="1750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4C82F75B" w14:textId="49C595B0" w:rsidR="00D343DC" w:rsidRDefault="00D343DC">
            <w:pPr>
              <w:spacing w:after="0"/>
              <w:rPr>
                <w:b/>
                <w:color w:val="000000"/>
              </w:rPr>
            </w:pPr>
            <w:r w:rsidRPr="004577B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Controlling High Blood Pressure (CBP-AD):</w:t>
            </w:r>
            <w:r>
              <w:rPr>
                <w:b/>
                <w:color w:val="000000"/>
              </w:rPr>
              <w:t xml:space="preserve"> </w:t>
            </w:r>
            <w:r w:rsidRPr="004577B5">
              <w:rPr>
                <w:rFonts w:ascii="Arial" w:hAnsi="Arial" w:cs="Arial"/>
                <w:color w:val="000000"/>
              </w:rPr>
              <w:t xml:space="preserve">Percentage of beneficiaries ages </w:t>
            </w:r>
            <w:r w:rsidR="007505DB">
              <w:rPr>
                <w:rFonts w:ascii="Arial" w:hAnsi="Arial" w:cs="Arial"/>
                <w:color w:val="000000"/>
              </w:rPr>
              <w:t>eighteen (</w:t>
            </w:r>
            <w:r w:rsidRPr="004577B5">
              <w:rPr>
                <w:rFonts w:ascii="Arial" w:hAnsi="Arial" w:cs="Arial"/>
                <w:color w:val="000000"/>
              </w:rPr>
              <w:t>18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to</w:t>
            </w:r>
            <w:r w:rsidR="007505DB">
              <w:rPr>
                <w:rFonts w:ascii="Arial" w:hAnsi="Arial" w:cs="Arial"/>
                <w:color w:val="000000"/>
              </w:rPr>
              <w:t xml:space="preserve"> eight-five</w:t>
            </w:r>
            <w:r w:rsidRPr="004577B5">
              <w:rPr>
                <w:rFonts w:ascii="Arial" w:hAnsi="Arial" w:cs="Arial"/>
                <w:color w:val="000000"/>
              </w:rPr>
              <w:t xml:space="preserve"> </w:t>
            </w:r>
            <w:r w:rsidR="007505DB">
              <w:rPr>
                <w:rFonts w:ascii="Arial" w:hAnsi="Arial" w:cs="Arial"/>
                <w:color w:val="000000"/>
              </w:rPr>
              <w:t>(</w:t>
            </w:r>
            <w:r w:rsidRPr="004577B5">
              <w:rPr>
                <w:rFonts w:ascii="Arial" w:hAnsi="Arial" w:cs="Arial"/>
                <w:color w:val="000000"/>
              </w:rPr>
              <w:t>85</w:t>
            </w:r>
            <w:r w:rsidR="007505DB">
              <w:rPr>
                <w:rFonts w:ascii="Arial" w:hAnsi="Arial" w:cs="Arial"/>
                <w:color w:val="000000"/>
              </w:rPr>
              <w:t>)</w:t>
            </w:r>
            <w:r w:rsidRPr="004577B5">
              <w:rPr>
                <w:rFonts w:ascii="Arial" w:hAnsi="Arial" w:cs="Arial"/>
                <w:color w:val="000000"/>
              </w:rPr>
              <w:t xml:space="preserve"> who had a diagnosis of hypertension and whose blood pressure (BP) was adequately controlled (&lt; 140/90 mm Hg) during the measurement year.</w:t>
            </w:r>
          </w:p>
        </w:tc>
        <w:tc>
          <w:tcPr>
            <w:tcW w:w="3331" w:type="dxa"/>
            <w:vAlign w:val="center"/>
          </w:tcPr>
          <w:p w14:paraId="6CE3A280" w14:textId="53BC6B05" w:rsidR="00D343DC" w:rsidRDefault="00D343DC" w:rsidP="00D343D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62.53%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57583187" w14:textId="3D43CB86" w:rsidR="00D343DC" w:rsidRPr="004577B5" w:rsidRDefault="00D343DC" w:rsidP="00C637B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66.79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6D70EF37" w14:textId="02B0A66C" w:rsidR="00D343DC" w:rsidRPr="004577B5" w:rsidRDefault="00D343D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D343DC" w14:paraId="1A3852D0" w14:textId="77777777" w:rsidTr="00D343DC">
        <w:trPr>
          <w:trHeight w:val="1607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25EDF86F" w14:textId="5FAD70B5" w:rsidR="00D343DC" w:rsidRDefault="00D343DC" w:rsidP="0045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Initiation and Engagement of Alcohol and Other Drug Abuse or Dependence Treatment (IET-AD): </w:t>
            </w:r>
            <w:r>
              <w:rPr>
                <w:sz w:val="22"/>
                <w:szCs w:val="22"/>
              </w:rPr>
              <w:t xml:space="preserve">Percentage of beneficiaries age </w:t>
            </w:r>
            <w:r w:rsidR="007505DB">
              <w:rPr>
                <w:sz w:val="22"/>
                <w:szCs w:val="22"/>
              </w:rPr>
              <w:t>eighteen (</w:t>
            </w:r>
            <w:r>
              <w:rPr>
                <w:sz w:val="22"/>
                <w:szCs w:val="22"/>
              </w:rPr>
              <w:t>18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and older </w:t>
            </w:r>
            <w:r w:rsidR="00FC0B8D">
              <w:rPr>
                <w:sz w:val="22"/>
                <w:szCs w:val="22"/>
              </w:rPr>
              <w:t xml:space="preserve">(Combining age groups 18-64 and 65+) </w:t>
            </w:r>
            <w:r>
              <w:rPr>
                <w:sz w:val="22"/>
                <w:szCs w:val="22"/>
              </w:rPr>
              <w:t xml:space="preserve">with a new episode of alcohol or other drug (AOD) abuse or dependence who received the following: </w:t>
            </w:r>
          </w:p>
          <w:p w14:paraId="35608627" w14:textId="7387DA3C" w:rsidR="00D343DC" w:rsidRDefault="00D343DC" w:rsidP="004577B5">
            <w:pPr>
              <w:pStyle w:val="Default"/>
              <w:numPr>
                <w:ilvl w:val="0"/>
                <w:numId w:val="8"/>
              </w:numPr>
              <w:spacing w:after="5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Initiation of AOD Treatment</w:t>
            </w:r>
            <w:r>
              <w:rPr>
                <w:sz w:val="22"/>
                <w:szCs w:val="22"/>
              </w:rPr>
              <w:t xml:space="preserve">. Percentage of beneficiaries who initiate treatment through an inpatient AOD admission, outpatient visit, intensive outpatient encounter or partial hospitalization, telehealth, or medication treatment within </w:t>
            </w:r>
            <w:r w:rsidR="007505DB">
              <w:rPr>
                <w:sz w:val="22"/>
                <w:szCs w:val="22"/>
              </w:rPr>
              <w:t>fourteen (</w:t>
            </w:r>
            <w:r>
              <w:rPr>
                <w:sz w:val="22"/>
                <w:szCs w:val="22"/>
              </w:rPr>
              <w:t>14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days of the diagnosis </w:t>
            </w:r>
          </w:p>
          <w:p w14:paraId="5307591D" w14:textId="2C25B6FF" w:rsidR="00D343DC" w:rsidRDefault="00D343DC" w:rsidP="004577B5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Engagement of AOD Treatment</w:t>
            </w:r>
            <w:r>
              <w:rPr>
                <w:sz w:val="22"/>
                <w:szCs w:val="22"/>
              </w:rPr>
              <w:t xml:space="preserve">. Percentage of beneficiaries who initiated treatment and who were engaged in ongoing AOD treatment within </w:t>
            </w:r>
            <w:r w:rsidR="007505DB">
              <w:rPr>
                <w:sz w:val="22"/>
                <w:szCs w:val="22"/>
              </w:rPr>
              <w:t>thirty-four (</w:t>
            </w:r>
            <w:r>
              <w:rPr>
                <w:sz w:val="22"/>
                <w:szCs w:val="22"/>
              </w:rPr>
              <w:t>34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days of the initiation visit </w:t>
            </w:r>
          </w:p>
          <w:p w14:paraId="3A2FF91B" w14:textId="1E16DCF2" w:rsidR="00D343DC" w:rsidRDefault="00D343DC" w:rsidP="004027B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331" w:type="dxa"/>
            <w:vAlign w:val="center"/>
          </w:tcPr>
          <w:p w14:paraId="4DE1A51A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Total AOD abuse of dependence </w:t>
            </w:r>
          </w:p>
          <w:p w14:paraId="46209F92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Initiation </w:t>
            </w:r>
          </w:p>
          <w:p w14:paraId="61D77722" w14:textId="6487BB12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41.73%</w:t>
            </w:r>
          </w:p>
          <w:p w14:paraId="4D85E92E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61A4D239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Total AOD abuse of dependence </w:t>
            </w:r>
          </w:p>
          <w:p w14:paraId="2893671E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Engagement </w:t>
            </w:r>
          </w:p>
          <w:p w14:paraId="287F2D73" w14:textId="0B21BE6F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11.03%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1FCAC340" w14:textId="516D3099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Total </w:t>
            </w:r>
            <w:r>
              <w:rPr>
                <w:rFonts w:ascii="Arial" w:hAnsi="Arial" w:cs="Arial"/>
                <w:color w:val="000000"/>
              </w:rPr>
              <w:t xml:space="preserve">AOD abuse of dependence </w:t>
            </w:r>
          </w:p>
          <w:p w14:paraId="76211229" w14:textId="6C2D455C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Initiation</w:t>
            </w:r>
          </w:p>
          <w:p w14:paraId="5A6885B4" w14:textId="07670D04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44.33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  <w:p w14:paraId="773709D8" w14:textId="77777777" w:rsidR="00D343DC" w:rsidRPr="004577B5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0592337C" w14:textId="74CA8E6E" w:rsidR="00D343DC" w:rsidRDefault="00D343DC" w:rsidP="00656ED1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Total </w:t>
            </w:r>
            <w:r>
              <w:rPr>
                <w:rFonts w:ascii="Arial" w:hAnsi="Arial" w:cs="Arial"/>
                <w:color w:val="000000"/>
              </w:rPr>
              <w:t>AOD abuse of dependence</w:t>
            </w:r>
          </w:p>
          <w:p w14:paraId="2CC1A48A" w14:textId="1A4C8B8C" w:rsidR="00D343DC" w:rsidRDefault="00D343DC" w:rsidP="00656ED1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Engagement</w:t>
            </w:r>
          </w:p>
          <w:p w14:paraId="5D7465E3" w14:textId="620A24DC" w:rsidR="00D343DC" w:rsidRPr="004577B5" w:rsidRDefault="00D343DC" w:rsidP="00656ED1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13.86</w:t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11243FDD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7.5%</w:t>
            </w:r>
          </w:p>
          <w:p w14:paraId="013209FD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190B1282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04CF3337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55759094" w14:textId="58D1D46D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7.5%</w:t>
            </w:r>
          </w:p>
        </w:tc>
      </w:tr>
      <w:tr w:rsidR="00D343DC" w14:paraId="4824CCB3" w14:textId="77777777" w:rsidTr="00D343DC">
        <w:trPr>
          <w:trHeight w:val="3778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31FFA27B" w14:textId="799E13CB" w:rsidR="00D343DC" w:rsidRPr="00B27C8C" w:rsidRDefault="00D343DC" w:rsidP="00B27C8C">
            <w:pPr>
              <w:pStyle w:val="Default"/>
              <w:rPr>
                <w:sz w:val="22"/>
                <w:szCs w:val="22"/>
              </w:rPr>
            </w:pPr>
            <w:r w:rsidRPr="004577B5">
              <w:rPr>
                <w:b/>
              </w:rPr>
              <w:t>Weight Assessment and Counseling for Nutrition and Physical Activity for Children/Adolescents</w:t>
            </w:r>
            <w:r>
              <w:rPr>
                <w:b/>
              </w:rPr>
              <w:t xml:space="preserve"> (WCC-CH): </w:t>
            </w:r>
            <w:r w:rsidRPr="00B27C8C">
              <w:rPr>
                <w:sz w:val="22"/>
                <w:szCs w:val="22"/>
              </w:rPr>
              <w:t xml:space="preserve">Percentage of </w:t>
            </w:r>
            <w:r>
              <w:rPr>
                <w:sz w:val="22"/>
                <w:szCs w:val="22"/>
              </w:rPr>
              <w:t xml:space="preserve">adolescents ages </w:t>
            </w:r>
            <w:r w:rsidR="007505DB">
              <w:rPr>
                <w:sz w:val="22"/>
                <w:szCs w:val="22"/>
              </w:rPr>
              <w:t>twelve (</w:t>
            </w:r>
            <w:r>
              <w:rPr>
                <w:sz w:val="22"/>
                <w:szCs w:val="22"/>
              </w:rPr>
              <w:t>12</w:t>
            </w:r>
            <w:r w:rsidR="007505DB">
              <w:rPr>
                <w:sz w:val="22"/>
                <w:szCs w:val="22"/>
              </w:rPr>
              <w:t>)</w:t>
            </w:r>
            <w:r w:rsidRPr="00B27C8C">
              <w:rPr>
                <w:sz w:val="22"/>
                <w:szCs w:val="22"/>
              </w:rPr>
              <w:t xml:space="preserve"> to</w:t>
            </w:r>
            <w:r w:rsidR="007505DB">
              <w:rPr>
                <w:sz w:val="22"/>
                <w:szCs w:val="22"/>
              </w:rPr>
              <w:t xml:space="preserve"> seventeen</w:t>
            </w:r>
            <w:r w:rsidRPr="00B27C8C">
              <w:rPr>
                <w:sz w:val="22"/>
                <w:szCs w:val="22"/>
              </w:rPr>
              <w:t xml:space="preserve"> </w:t>
            </w:r>
            <w:r w:rsidR="007505DB">
              <w:rPr>
                <w:sz w:val="22"/>
                <w:szCs w:val="22"/>
              </w:rPr>
              <w:t>(</w:t>
            </w:r>
            <w:r w:rsidRPr="00B27C8C">
              <w:rPr>
                <w:sz w:val="22"/>
                <w:szCs w:val="22"/>
              </w:rPr>
              <w:t>17</w:t>
            </w:r>
            <w:r w:rsidR="007505DB">
              <w:rPr>
                <w:sz w:val="22"/>
                <w:szCs w:val="22"/>
              </w:rPr>
              <w:t>)</w:t>
            </w:r>
            <w:r w:rsidRPr="00B27C8C">
              <w:rPr>
                <w:sz w:val="22"/>
                <w:szCs w:val="22"/>
              </w:rPr>
              <w:t xml:space="preserve"> who had an outpatient visit with a primary care practitioner (PCP) or obstetrician/gynecologist (OB/GYN) and who had evidence of the following during the measurement year: </w:t>
            </w:r>
          </w:p>
          <w:p w14:paraId="2AB4F329" w14:textId="77777777" w:rsidR="00D343DC" w:rsidRDefault="00D343DC" w:rsidP="00B27C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7" w:line="240" w:lineRule="auto"/>
              <w:rPr>
                <w:rFonts w:ascii="Arial" w:hAnsi="Arial" w:cs="Arial"/>
                <w:color w:val="000000"/>
              </w:rPr>
            </w:pPr>
            <w:r w:rsidRPr="00B27C8C">
              <w:rPr>
                <w:rFonts w:ascii="Arial" w:hAnsi="Arial" w:cs="Arial"/>
                <w:color w:val="000000"/>
              </w:rPr>
              <w:t>Body mass index (BMI) percentile documentation</w:t>
            </w:r>
          </w:p>
          <w:p w14:paraId="05E03961" w14:textId="77777777" w:rsidR="00D343DC" w:rsidRDefault="00D343DC" w:rsidP="00B27C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7" w:line="240" w:lineRule="auto"/>
              <w:rPr>
                <w:rFonts w:ascii="Arial" w:hAnsi="Arial" w:cs="Arial"/>
                <w:color w:val="000000"/>
              </w:rPr>
            </w:pPr>
            <w:r w:rsidRPr="00B27C8C">
              <w:rPr>
                <w:rFonts w:ascii="Arial" w:hAnsi="Arial" w:cs="Arial"/>
                <w:color w:val="000000"/>
              </w:rPr>
              <w:t xml:space="preserve">Counseling for nutrition </w:t>
            </w:r>
          </w:p>
          <w:p w14:paraId="57AB70D6" w14:textId="08A03A10" w:rsidR="00D343DC" w:rsidRPr="00B27C8C" w:rsidRDefault="00D343DC" w:rsidP="00B27C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7" w:line="240" w:lineRule="auto"/>
              <w:rPr>
                <w:rFonts w:ascii="Arial" w:hAnsi="Arial" w:cs="Arial"/>
                <w:color w:val="000000"/>
              </w:rPr>
            </w:pPr>
            <w:r w:rsidRPr="00B27C8C">
              <w:rPr>
                <w:rFonts w:ascii="Arial" w:hAnsi="Arial" w:cs="Arial"/>
                <w:color w:val="000000"/>
              </w:rPr>
              <w:t xml:space="preserve">Counseling for physical activity </w:t>
            </w:r>
          </w:p>
          <w:p w14:paraId="7DCDAF41" w14:textId="4A6AE5C7" w:rsidR="00D343DC" w:rsidRPr="004577B5" w:rsidRDefault="00D343DC" w:rsidP="004577B5">
            <w:pPr>
              <w:pStyle w:val="Default"/>
              <w:rPr>
                <w:b/>
              </w:rPr>
            </w:pPr>
          </w:p>
        </w:tc>
        <w:tc>
          <w:tcPr>
            <w:tcW w:w="3331" w:type="dxa"/>
            <w:vAlign w:val="center"/>
          </w:tcPr>
          <w:p w14:paraId="76A2CEB1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BMI</w:t>
            </w:r>
          </w:p>
          <w:p w14:paraId="3872EF73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71.43%</w:t>
            </w:r>
          </w:p>
          <w:p w14:paraId="67DB5E59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326ED9D0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Counseling for Nutrition</w:t>
            </w:r>
          </w:p>
          <w:p w14:paraId="0CAF05C6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61.87%</w:t>
            </w:r>
          </w:p>
          <w:p w14:paraId="2AC256F0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73D06131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Counseling for Physical Activity</w:t>
            </w:r>
          </w:p>
          <w:p w14:paraId="2C1319CD" w14:textId="4E55BD62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61.01%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2C9EC6FF" w14:textId="31FF5957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BMI</w:t>
            </w:r>
          </w:p>
          <w:p w14:paraId="239A1BFF" w14:textId="3EB32347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75.68%</w:t>
            </w:r>
          </w:p>
          <w:p w14:paraId="2F399066" w14:textId="77777777" w:rsidR="00D343DC" w:rsidRPr="004577B5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7157590D" w14:textId="77777777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Counseling for Nutrition</w:t>
            </w:r>
          </w:p>
          <w:p w14:paraId="2451EC86" w14:textId="6F747CE8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67.96%</w:t>
            </w:r>
          </w:p>
          <w:p w14:paraId="20BCBD7E" w14:textId="77777777" w:rsidR="00D343DC" w:rsidRPr="004577B5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0364FCBB" w14:textId="775DA5BE" w:rsidR="00D343DC" w:rsidRPr="004577B5" w:rsidRDefault="00D343DC" w:rsidP="008269B6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ounseling for Physical Activity</w:t>
            </w:r>
            <w:r w:rsidRPr="004577B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66.86%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069AAD30" w14:textId="77777777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451BEC8A" w14:textId="2D35DE37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5%</w:t>
            </w:r>
          </w:p>
          <w:p w14:paraId="369495D5" w14:textId="76F2CFAB" w:rsidR="00D343DC" w:rsidRDefault="00D343DC" w:rsidP="00D343DC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5C15CD07" w14:textId="77777777" w:rsidR="00D343DC" w:rsidRPr="004577B5" w:rsidRDefault="00D343DC" w:rsidP="00D343DC">
            <w:pPr>
              <w:pStyle w:val="NoSpacing"/>
              <w:rPr>
                <w:rFonts w:ascii="Arial" w:hAnsi="Arial" w:cs="Arial"/>
                <w:color w:val="000000"/>
              </w:rPr>
            </w:pPr>
          </w:p>
          <w:p w14:paraId="0C87B2AB" w14:textId="4AA70DA7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5%</w:t>
            </w:r>
          </w:p>
          <w:p w14:paraId="05C3A02E" w14:textId="77777777" w:rsidR="00D343DC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581B3A30" w14:textId="77777777" w:rsidR="00D343DC" w:rsidRPr="004577B5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  <w:p w14:paraId="3EEA9361" w14:textId="57437544" w:rsidR="00D343DC" w:rsidRPr="004577B5" w:rsidRDefault="00D343DC" w:rsidP="004577B5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D343DC" w14:paraId="5FF48612" w14:textId="77777777" w:rsidTr="00D343DC">
        <w:trPr>
          <w:trHeight w:val="3500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46CDCE69" w14:textId="2380ED32" w:rsidR="00D343DC" w:rsidRPr="00AA73D3" w:rsidRDefault="00D343DC" w:rsidP="004577B5">
            <w:pPr>
              <w:pStyle w:val="Default"/>
              <w:rPr>
                <w:b/>
              </w:rPr>
            </w:pPr>
            <w:r w:rsidRPr="00AA73D3">
              <w:rPr>
                <w:b/>
              </w:rPr>
              <w:t>Prenatal and Postpartum Care: Timeliness of Prenatal Care</w:t>
            </w:r>
            <w:r>
              <w:rPr>
                <w:b/>
              </w:rPr>
              <w:t xml:space="preserve"> (PPC-CH): </w:t>
            </w:r>
            <w:r>
              <w:rPr>
                <w:sz w:val="22"/>
                <w:szCs w:val="22"/>
              </w:rPr>
              <w:t xml:space="preserve">Percentage of deliveries of live births on or between October 8 of the year prior to the measurement year and October7 of the measurement year that received a prenatal care visit in the first trimester, on or before the </w:t>
            </w:r>
            <w:r w:rsidR="007505DB">
              <w:rPr>
                <w:sz w:val="22"/>
                <w:szCs w:val="22"/>
              </w:rPr>
              <w:t>enrollment start date or within forty-two (</w:t>
            </w:r>
            <w:r>
              <w:rPr>
                <w:sz w:val="22"/>
                <w:szCs w:val="22"/>
              </w:rPr>
              <w:t>42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days of enrollment in Medicaid/CHIP.</w:t>
            </w:r>
          </w:p>
        </w:tc>
        <w:tc>
          <w:tcPr>
            <w:tcW w:w="3331" w:type="dxa"/>
            <w:vAlign w:val="center"/>
          </w:tcPr>
          <w:p w14:paraId="4A26DB1A" w14:textId="395E5149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81.51%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6828C6F0" w14:textId="73D193FA" w:rsidR="00D343DC" w:rsidRPr="004577B5" w:rsidRDefault="00D343DC" w:rsidP="008C57BB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85.89%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7D026548" w14:textId="0841A763" w:rsidR="00D343DC" w:rsidRPr="004577B5" w:rsidRDefault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7.5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</w:tr>
      <w:tr w:rsidR="00D343DC" w14:paraId="7032C788" w14:textId="77777777" w:rsidTr="00D343DC">
        <w:trPr>
          <w:trHeight w:val="2425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48DB347E" w14:textId="2E0E1D1E" w:rsidR="00D343DC" w:rsidRDefault="00D343DC" w:rsidP="004577B5">
            <w:pPr>
              <w:pStyle w:val="Default"/>
              <w:rPr>
                <w:sz w:val="22"/>
                <w:szCs w:val="22"/>
              </w:rPr>
            </w:pPr>
            <w:r w:rsidRPr="00AA73D3">
              <w:rPr>
                <w:b/>
              </w:rPr>
              <w:t>Metabolic Monitoring for Children and Adolescents on Antipsychotics</w:t>
            </w:r>
            <w:r>
              <w:rPr>
                <w:b/>
              </w:rPr>
              <w:t xml:space="preserve"> (APM-CH): </w:t>
            </w:r>
            <w:r>
              <w:rPr>
                <w:sz w:val="22"/>
                <w:szCs w:val="22"/>
              </w:rPr>
              <w:t xml:space="preserve">Percentage of adolescents ages </w:t>
            </w:r>
            <w:r w:rsidR="007505DB">
              <w:rPr>
                <w:sz w:val="22"/>
                <w:szCs w:val="22"/>
              </w:rPr>
              <w:t>twelve (</w:t>
            </w:r>
            <w:r>
              <w:rPr>
                <w:sz w:val="22"/>
                <w:szCs w:val="22"/>
              </w:rPr>
              <w:t>12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to</w:t>
            </w:r>
            <w:r w:rsidR="007505DB">
              <w:rPr>
                <w:sz w:val="22"/>
                <w:szCs w:val="22"/>
              </w:rPr>
              <w:t xml:space="preserve"> seventeen</w:t>
            </w:r>
            <w:r>
              <w:rPr>
                <w:sz w:val="22"/>
                <w:szCs w:val="22"/>
              </w:rPr>
              <w:t xml:space="preserve"> </w:t>
            </w:r>
            <w:r w:rsidR="007505D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17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who had two</w:t>
            </w:r>
            <w:r w:rsidR="007505DB">
              <w:rPr>
                <w:sz w:val="22"/>
                <w:szCs w:val="22"/>
              </w:rPr>
              <w:t xml:space="preserve"> (2)</w:t>
            </w:r>
            <w:r>
              <w:rPr>
                <w:sz w:val="22"/>
                <w:szCs w:val="22"/>
              </w:rPr>
              <w:t xml:space="preserve"> or more antipsychotic prescriptions and had metabolic testing:</w:t>
            </w:r>
          </w:p>
          <w:p w14:paraId="3DC629A0" w14:textId="0F9E73E2" w:rsidR="00D343DC" w:rsidRPr="00D34954" w:rsidRDefault="00D343DC" w:rsidP="00D3495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4954">
              <w:rPr>
                <w:rFonts w:ascii="Arial" w:hAnsi="Arial" w:cs="Arial"/>
                <w:color w:val="000000"/>
              </w:rPr>
              <w:t xml:space="preserve">Percentage of adolescents on antipsychotics who received blood glucose and cholesterol testing </w:t>
            </w:r>
          </w:p>
          <w:p w14:paraId="1ADB3A38" w14:textId="62F0BEF9" w:rsidR="00D343DC" w:rsidRPr="004577B5" w:rsidRDefault="00D343DC" w:rsidP="004577B5">
            <w:pPr>
              <w:pStyle w:val="Default"/>
              <w:rPr>
                <w:b/>
              </w:rPr>
            </w:pPr>
          </w:p>
        </w:tc>
        <w:tc>
          <w:tcPr>
            <w:tcW w:w="3331" w:type="dxa"/>
            <w:vAlign w:val="center"/>
          </w:tcPr>
          <w:p w14:paraId="7AFF4307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Blood Glucose and Cholesterol</w:t>
            </w:r>
          </w:p>
          <w:p w14:paraId="5449FE6E" w14:textId="77777777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Testing:</w:t>
            </w:r>
          </w:p>
          <w:p w14:paraId="38032BDA" w14:textId="0D815161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28.86%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399C28A5" w14:textId="4FB042E5" w:rsidR="00D343DC" w:rsidRDefault="00D343DC" w:rsidP="00941D59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Blood Glucose </w:t>
            </w:r>
            <w:r>
              <w:rPr>
                <w:rFonts w:ascii="Arial" w:hAnsi="Arial" w:cs="Arial"/>
                <w:color w:val="000000"/>
              </w:rPr>
              <w:t xml:space="preserve">and Cholesterol </w:t>
            </w:r>
            <w:r w:rsidRPr="004577B5">
              <w:rPr>
                <w:rFonts w:ascii="Arial" w:hAnsi="Arial" w:cs="Arial"/>
                <w:color w:val="000000"/>
              </w:rPr>
              <w:t xml:space="preserve">Testing: </w:t>
            </w:r>
          </w:p>
          <w:p w14:paraId="6755252C" w14:textId="65C9B891" w:rsidR="00D343DC" w:rsidRPr="004577B5" w:rsidRDefault="00D343DC" w:rsidP="00941D59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32.72%</w:t>
            </w:r>
            <w:r w:rsidRPr="004577B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487FF6FB" w14:textId="6653F422" w:rsidR="00D343DC" w:rsidRPr="004577B5" w:rsidRDefault="00D343DC" w:rsidP="00515144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7.5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</w:tr>
      <w:tr w:rsidR="00D343DC" w14:paraId="3AD2F4CA" w14:textId="77777777" w:rsidTr="00D343DC">
        <w:trPr>
          <w:trHeight w:val="1003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7181F74F" w14:textId="423D3AE1" w:rsidR="00D343DC" w:rsidRDefault="00D343DC" w:rsidP="0045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Use of First-Line Psychosocial Care for Children and Adolescents on Antipsychotics (APP-CH): </w:t>
            </w:r>
            <w:r>
              <w:rPr>
                <w:sz w:val="22"/>
                <w:szCs w:val="22"/>
              </w:rPr>
              <w:t xml:space="preserve">Percentage of adolescents ages </w:t>
            </w:r>
            <w:r w:rsidR="007505DB">
              <w:rPr>
                <w:sz w:val="22"/>
                <w:szCs w:val="22"/>
              </w:rPr>
              <w:t>twelve (</w:t>
            </w:r>
            <w:r>
              <w:rPr>
                <w:sz w:val="22"/>
                <w:szCs w:val="22"/>
              </w:rPr>
              <w:t>12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to</w:t>
            </w:r>
            <w:r w:rsidR="007505DB">
              <w:rPr>
                <w:sz w:val="22"/>
                <w:szCs w:val="22"/>
              </w:rPr>
              <w:t xml:space="preserve"> seventeen</w:t>
            </w:r>
            <w:r>
              <w:rPr>
                <w:sz w:val="22"/>
                <w:szCs w:val="22"/>
              </w:rPr>
              <w:t xml:space="preserve"> </w:t>
            </w:r>
            <w:r w:rsidR="007505D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17</w:t>
            </w:r>
            <w:r w:rsidR="007505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who had a new prescription for an antipsychotic medication and had documentation of psychosocial care as first-line treatment. </w:t>
            </w:r>
          </w:p>
          <w:p w14:paraId="4BC53CF6" w14:textId="3741C727" w:rsidR="00D343DC" w:rsidRDefault="00D343DC" w:rsidP="004577B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31" w:type="dxa"/>
            <w:vAlign w:val="center"/>
          </w:tcPr>
          <w:p w14:paraId="1EA32C35" w14:textId="1922574C" w:rsidR="00D343DC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67.45%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68C08B39" w14:textId="6CB609CF" w:rsidR="00D343DC" w:rsidRPr="004577B5" w:rsidRDefault="00D343DC" w:rsidP="00D40492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70.93%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3DA9EC17" w14:textId="44970A31" w:rsidR="00D343DC" w:rsidRPr="004577B5" w:rsidRDefault="00D343DC" w:rsidP="000D3B6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7.5</w:t>
            </w:r>
            <w:r w:rsidRPr="004577B5">
              <w:rPr>
                <w:rFonts w:ascii="Arial" w:hAnsi="Arial" w:cs="Arial"/>
                <w:color w:val="000000"/>
              </w:rPr>
              <w:t>%</w:t>
            </w:r>
          </w:p>
        </w:tc>
      </w:tr>
      <w:tr w:rsidR="00D343DC" w14:paraId="76EB546C" w14:textId="77777777" w:rsidTr="00D343DC">
        <w:trPr>
          <w:trHeight w:val="1003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234B1901" w14:textId="34B677E0" w:rsidR="00D343DC" w:rsidRPr="004577B5" w:rsidRDefault="00D343DC" w:rsidP="004577B5">
            <w:pPr>
              <w:pStyle w:val="Default"/>
              <w:rPr>
                <w:sz w:val="22"/>
                <w:szCs w:val="22"/>
              </w:rPr>
            </w:pPr>
            <w:r w:rsidRPr="00AA73D3">
              <w:rPr>
                <w:b/>
              </w:rPr>
              <w:lastRenderedPageBreak/>
              <w:t>Plan All-Cause Readmissions</w:t>
            </w:r>
            <w:r>
              <w:rPr>
                <w:b/>
              </w:rPr>
              <w:t xml:space="preserve"> (PCR-AD): </w:t>
            </w:r>
            <w:r w:rsidRPr="004577B5">
              <w:rPr>
                <w:sz w:val="22"/>
                <w:szCs w:val="22"/>
              </w:rPr>
              <w:t xml:space="preserve">For beneficiaries ages </w:t>
            </w:r>
            <w:r w:rsidR="007505DB">
              <w:rPr>
                <w:sz w:val="22"/>
                <w:szCs w:val="22"/>
              </w:rPr>
              <w:t>eighteen (</w:t>
            </w:r>
            <w:r w:rsidRPr="004577B5">
              <w:rPr>
                <w:sz w:val="22"/>
                <w:szCs w:val="22"/>
              </w:rPr>
              <w:t>18</w:t>
            </w:r>
            <w:r w:rsidR="007505DB">
              <w:rPr>
                <w:sz w:val="22"/>
                <w:szCs w:val="22"/>
              </w:rPr>
              <w:t>)</w:t>
            </w:r>
            <w:r w:rsidRPr="004577B5">
              <w:rPr>
                <w:sz w:val="22"/>
                <w:szCs w:val="22"/>
              </w:rPr>
              <w:t xml:space="preserve"> to</w:t>
            </w:r>
            <w:r w:rsidR="007505DB">
              <w:rPr>
                <w:sz w:val="22"/>
                <w:szCs w:val="22"/>
              </w:rPr>
              <w:t xml:space="preserve"> sixty-four</w:t>
            </w:r>
            <w:r w:rsidRPr="004577B5">
              <w:rPr>
                <w:sz w:val="22"/>
                <w:szCs w:val="22"/>
              </w:rPr>
              <w:t xml:space="preserve"> </w:t>
            </w:r>
            <w:r w:rsidR="007505DB">
              <w:rPr>
                <w:sz w:val="22"/>
                <w:szCs w:val="22"/>
              </w:rPr>
              <w:t>(</w:t>
            </w:r>
            <w:r w:rsidRPr="004577B5">
              <w:rPr>
                <w:sz w:val="22"/>
                <w:szCs w:val="22"/>
              </w:rPr>
              <w:t>64</w:t>
            </w:r>
            <w:r w:rsidR="007505DB">
              <w:rPr>
                <w:sz w:val="22"/>
                <w:szCs w:val="22"/>
              </w:rPr>
              <w:t>)</w:t>
            </w:r>
            <w:r w:rsidRPr="004577B5">
              <w:rPr>
                <w:sz w:val="22"/>
                <w:szCs w:val="22"/>
              </w:rPr>
              <w:t xml:space="preserve">, the number of acute inpatient and observation stays during the measurement year that were followed by an unplanned acute readmission for any diagnosis within </w:t>
            </w:r>
            <w:r w:rsidR="007505DB">
              <w:rPr>
                <w:sz w:val="22"/>
                <w:szCs w:val="22"/>
              </w:rPr>
              <w:t>thirty (</w:t>
            </w:r>
            <w:r w:rsidRPr="004577B5">
              <w:rPr>
                <w:sz w:val="22"/>
                <w:szCs w:val="22"/>
              </w:rPr>
              <w:t>30</w:t>
            </w:r>
            <w:r w:rsidR="007505DB">
              <w:rPr>
                <w:sz w:val="22"/>
                <w:szCs w:val="22"/>
              </w:rPr>
              <w:t>)</w:t>
            </w:r>
            <w:r w:rsidRPr="004577B5">
              <w:rPr>
                <w:sz w:val="22"/>
                <w:szCs w:val="22"/>
              </w:rPr>
              <w:t xml:space="preserve"> days and the predicted probability of an acute readmission. Data are reported in the following categories: </w:t>
            </w:r>
          </w:p>
          <w:p w14:paraId="3C457A4D" w14:textId="77777777" w:rsidR="00D343DC" w:rsidRDefault="00D343DC" w:rsidP="004577B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Count of Index Hospital Stays (IHS) </w:t>
            </w:r>
          </w:p>
          <w:p w14:paraId="62429C8B" w14:textId="22609780" w:rsidR="00D343DC" w:rsidRDefault="00D343DC" w:rsidP="004577B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Count </w:t>
            </w:r>
            <w:r>
              <w:rPr>
                <w:rFonts w:ascii="Arial" w:hAnsi="Arial" w:cs="Arial"/>
                <w:color w:val="000000"/>
              </w:rPr>
              <w:t>of Observed 30-Day Readmissions</w:t>
            </w:r>
          </w:p>
          <w:p w14:paraId="019ECC4A" w14:textId="346A04B0" w:rsidR="00D343DC" w:rsidRPr="004577B5" w:rsidRDefault="00D343DC" w:rsidP="004577B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Count of Expected 30-Day Readmissions </w:t>
            </w:r>
          </w:p>
          <w:p w14:paraId="58A3C473" w14:textId="60F70776" w:rsidR="00D343DC" w:rsidRPr="00AA73D3" w:rsidRDefault="00D343DC" w:rsidP="004577B5">
            <w:pPr>
              <w:pStyle w:val="Default"/>
              <w:rPr>
                <w:b/>
              </w:rPr>
            </w:pPr>
          </w:p>
        </w:tc>
        <w:tc>
          <w:tcPr>
            <w:tcW w:w="3331" w:type="dxa"/>
            <w:vAlign w:val="center"/>
          </w:tcPr>
          <w:p w14:paraId="5EF850CE" w14:textId="1F5E2978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Monitoring Metric Only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1B7AB1B8" w14:textId="74E3B735" w:rsidR="00D343DC" w:rsidRPr="004577B5" w:rsidRDefault="00D343DC" w:rsidP="000D3B6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Monitoring Metric Only</w:t>
            </w:r>
          </w:p>
          <w:p w14:paraId="297038F3" w14:textId="20A05A37" w:rsidR="00D343DC" w:rsidRPr="004577B5" w:rsidRDefault="00D343DC" w:rsidP="000D3B6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75130D1F" w14:textId="318EBD4A" w:rsidR="00D343DC" w:rsidRPr="004577B5" w:rsidRDefault="00D343DC" w:rsidP="000D3B6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NA</w:t>
            </w:r>
          </w:p>
        </w:tc>
      </w:tr>
      <w:tr w:rsidR="00D343DC" w14:paraId="6C81671B" w14:textId="77777777" w:rsidTr="00D343DC">
        <w:trPr>
          <w:trHeight w:val="1003"/>
        </w:trPr>
        <w:tc>
          <w:tcPr>
            <w:tcW w:w="5484" w:type="dxa"/>
            <w:shd w:val="clear" w:color="auto" w:fill="auto"/>
            <w:tcMar>
              <w:left w:w="108" w:type="dxa"/>
            </w:tcMar>
            <w:vAlign w:val="center"/>
          </w:tcPr>
          <w:p w14:paraId="11F3DB45" w14:textId="3D58F040" w:rsidR="00D343DC" w:rsidRPr="004577B5" w:rsidRDefault="00D343DC" w:rsidP="0045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Use of Pharmacotherapy for Opioid Use Disorder (OUD-AD): </w:t>
            </w:r>
            <w:r w:rsidRPr="004577B5">
              <w:rPr>
                <w:sz w:val="22"/>
                <w:szCs w:val="22"/>
              </w:rPr>
              <w:t xml:space="preserve">Percentage of Medicaid beneficiaries ages </w:t>
            </w:r>
            <w:r w:rsidR="007505DB">
              <w:rPr>
                <w:sz w:val="22"/>
                <w:szCs w:val="22"/>
              </w:rPr>
              <w:t>eighteen (</w:t>
            </w:r>
            <w:r w:rsidRPr="004577B5">
              <w:rPr>
                <w:sz w:val="22"/>
                <w:szCs w:val="22"/>
              </w:rPr>
              <w:t>18</w:t>
            </w:r>
            <w:r w:rsidR="007505DB">
              <w:rPr>
                <w:sz w:val="22"/>
                <w:szCs w:val="22"/>
              </w:rPr>
              <w:t>)</w:t>
            </w:r>
            <w:r w:rsidRPr="004577B5">
              <w:rPr>
                <w:sz w:val="22"/>
                <w:szCs w:val="22"/>
              </w:rPr>
              <w:t xml:space="preserve"> to</w:t>
            </w:r>
            <w:r w:rsidR="007505DB">
              <w:rPr>
                <w:sz w:val="22"/>
                <w:szCs w:val="22"/>
              </w:rPr>
              <w:t xml:space="preserve"> sixty-four</w:t>
            </w:r>
            <w:r w:rsidRPr="004577B5">
              <w:rPr>
                <w:sz w:val="22"/>
                <w:szCs w:val="22"/>
              </w:rPr>
              <w:t xml:space="preserve"> </w:t>
            </w:r>
            <w:r w:rsidR="007505DB">
              <w:rPr>
                <w:sz w:val="22"/>
                <w:szCs w:val="22"/>
              </w:rPr>
              <w:t>(</w:t>
            </w:r>
            <w:r w:rsidRPr="004577B5">
              <w:rPr>
                <w:sz w:val="22"/>
                <w:szCs w:val="22"/>
              </w:rPr>
              <w:t>64</w:t>
            </w:r>
            <w:r w:rsidR="007505DB">
              <w:rPr>
                <w:sz w:val="22"/>
                <w:szCs w:val="22"/>
              </w:rPr>
              <w:t>)</w:t>
            </w:r>
            <w:r w:rsidRPr="004577B5">
              <w:rPr>
                <w:sz w:val="22"/>
                <w:szCs w:val="22"/>
              </w:rPr>
              <w:t xml:space="preserve"> with an opioid use disorder (OUD) who filled a prescription for or were administered or dispensed an FDA-approved medication for the disorder during the measurement year. Five </w:t>
            </w:r>
            <w:r w:rsidR="007505DB">
              <w:rPr>
                <w:sz w:val="22"/>
                <w:szCs w:val="22"/>
              </w:rPr>
              <w:t xml:space="preserve">(5) </w:t>
            </w:r>
            <w:r w:rsidRPr="004577B5">
              <w:rPr>
                <w:sz w:val="22"/>
                <w:szCs w:val="22"/>
              </w:rPr>
              <w:t xml:space="preserve">rates are reported: </w:t>
            </w:r>
          </w:p>
          <w:p w14:paraId="44988636" w14:textId="77777777" w:rsidR="00D343DC" w:rsidRDefault="00D343DC" w:rsidP="004577B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9" w:line="240" w:lineRule="auto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A total (overall) rate capturing any medications used in medication assisted treatment of opioid de</w:t>
            </w:r>
            <w:r>
              <w:rPr>
                <w:rFonts w:ascii="Arial" w:hAnsi="Arial" w:cs="Arial"/>
                <w:color w:val="000000"/>
              </w:rPr>
              <w:t>pendence and addiction (Rate 1)</w:t>
            </w:r>
          </w:p>
          <w:p w14:paraId="5C192F46" w14:textId="1E0CC713" w:rsidR="00D343DC" w:rsidRPr="00501B44" w:rsidRDefault="00D343DC" w:rsidP="00332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9" w:line="240" w:lineRule="auto"/>
              <w:rPr>
                <w:rFonts w:ascii="Arial" w:hAnsi="Arial" w:cs="Arial"/>
                <w:color w:val="000000"/>
              </w:rPr>
            </w:pPr>
            <w:r w:rsidRPr="00501B44">
              <w:rPr>
                <w:rFonts w:ascii="Arial" w:hAnsi="Arial" w:cs="Arial"/>
                <w:color w:val="000000"/>
              </w:rPr>
              <w:t xml:space="preserve">Four separate rates representing the following types of FDA-approved drug products: </w:t>
            </w:r>
          </w:p>
          <w:p w14:paraId="1EF49760" w14:textId="77777777" w:rsidR="00D343DC" w:rsidRDefault="00D343DC" w:rsidP="00501B44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59" w:line="240" w:lineRule="auto"/>
              <w:rPr>
                <w:rFonts w:ascii="Arial" w:hAnsi="Arial" w:cs="Arial"/>
                <w:color w:val="000000"/>
              </w:rPr>
            </w:pPr>
            <w:r w:rsidRPr="00501B44">
              <w:rPr>
                <w:rFonts w:ascii="Arial" w:hAnsi="Arial" w:cs="Arial"/>
                <w:color w:val="000000"/>
              </w:rPr>
              <w:t xml:space="preserve">Buprenorphine (Rate 2) </w:t>
            </w:r>
          </w:p>
          <w:p w14:paraId="52115D27" w14:textId="7D436E8A" w:rsidR="00D343DC" w:rsidRDefault="00D343DC" w:rsidP="00501B44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59" w:line="240" w:lineRule="auto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Oral naltrexone (Rate 3) </w:t>
            </w:r>
          </w:p>
          <w:p w14:paraId="578C8E33" w14:textId="77777777" w:rsidR="00D343DC" w:rsidRDefault="00D343DC" w:rsidP="004577B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59" w:line="240" w:lineRule="auto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Long-acting, injectable naltrexone (Rate 4) </w:t>
            </w:r>
          </w:p>
          <w:p w14:paraId="543A3C32" w14:textId="7BDFE622" w:rsidR="00D343DC" w:rsidRPr="004577B5" w:rsidRDefault="00D343DC" w:rsidP="004577B5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59" w:line="240" w:lineRule="auto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 xml:space="preserve">Methadone (Rate 5) </w:t>
            </w:r>
          </w:p>
          <w:p w14:paraId="07D0F079" w14:textId="48C5D439" w:rsidR="00D343DC" w:rsidRPr="00D34954" w:rsidRDefault="00D343DC" w:rsidP="004577B5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1" w:type="dxa"/>
            <w:vAlign w:val="center"/>
          </w:tcPr>
          <w:p w14:paraId="0FC633D4" w14:textId="05187FC0" w:rsidR="00D343DC" w:rsidRPr="004577B5" w:rsidRDefault="00D343DC" w:rsidP="00D343D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Monitoring Metric Only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</w:tcMar>
            <w:vAlign w:val="center"/>
          </w:tcPr>
          <w:p w14:paraId="112C613F" w14:textId="7740E60B" w:rsidR="00D343DC" w:rsidRPr="004577B5" w:rsidRDefault="00D343DC" w:rsidP="000D3B6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Monitoring Metric Only</w:t>
            </w:r>
          </w:p>
          <w:p w14:paraId="75A5FDF0" w14:textId="2ED3F8BF" w:rsidR="00D343DC" w:rsidRPr="004577B5" w:rsidRDefault="00D343DC" w:rsidP="005E5EB1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  <w:vAlign w:val="center"/>
          </w:tcPr>
          <w:p w14:paraId="7C0BD1ED" w14:textId="584F5156" w:rsidR="00D343DC" w:rsidRPr="004577B5" w:rsidRDefault="00D343DC" w:rsidP="000D3B6C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4577B5">
              <w:rPr>
                <w:rFonts w:ascii="Arial" w:hAnsi="Arial" w:cs="Arial"/>
                <w:color w:val="000000"/>
              </w:rPr>
              <w:t>NA</w:t>
            </w:r>
          </w:p>
        </w:tc>
      </w:tr>
    </w:tbl>
    <w:p w14:paraId="4F8D7772" w14:textId="3E44C1BE" w:rsidR="009800FE" w:rsidRDefault="009800FE" w:rsidP="005A34DD">
      <w:pPr>
        <w:pStyle w:val="NoSpacing"/>
      </w:pPr>
    </w:p>
    <w:p w14:paraId="4C00A018" w14:textId="02A099D2" w:rsidR="00C637B3" w:rsidRPr="004577B5" w:rsidRDefault="00C637B3" w:rsidP="004577B5">
      <w:pPr>
        <w:pStyle w:val="NoSpacing"/>
        <w:rPr>
          <w:rFonts w:ascii="Arial" w:hAnsi="Arial" w:cs="Arial"/>
          <w:color w:val="000000"/>
        </w:rPr>
      </w:pPr>
      <w:r w:rsidRPr="004577B5">
        <w:rPr>
          <w:rFonts w:ascii="Arial" w:hAnsi="Arial" w:cs="Arial"/>
          <w:color w:val="000000"/>
        </w:rPr>
        <w:t>State may request supporting documentation for metrics, including but not limited to, claims extracts, denominator member list, supplemental information used in calculation, etc.</w:t>
      </w:r>
      <w:r w:rsidR="005A3013" w:rsidRPr="004577B5">
        <w:rPr>
          <w:rFonts w:ascii="Arial" w:hAnsi="Arial" w:cs="Arial"/>
          <w:color w:val="000000"/>
        </w:rPr>
        <w:t xml:space="preserve"> If the plan does not supply the requested documentation, the measure target will be held to have not been met.</w:t>
      </w:r>
    </w:p>
    <w:sectPr w:rsidR="00C637B3" w:rsidRPr="004577B5" w:rsidSect="00D343DC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8BB49" w14:textId="77777777" w:rsidR="00C3738F" w:rsidRDefault="00C3738F" w:rsidP="00024DAB">
      <w:pPr>
        <w:spacing w:after="0" w:line="240" w:lineRule="auto"/>
      </w:pPr>
      <w:r>
        <w:separator/>
      </w:r>
    </w:p>
  </w:endnote>
  <w:endnote w:type="continuationSeparator" w:id="0">
    <w:p w14:paraId="11D68773" w14:textId="77777777" w:rsidR="00C3738F" w:rsidRDefault="00C3738F" w:rsidP="0002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B2BAE" w14:textId="77777777" w:rsidR="00C3738F" w:rsidRDefault="00C3738F" w:rsidP="00024DAB">
      <w:pPr>
        <w:spacing w:after="0" w:line="240" w:lineRule="auto"/>
      </w:pPr>
      <w:r>
        <w:separator/>
      </w:r>
    </w:p>
  </w:footnote>
  <w:footnote w:type="continuationSeparator" w:id="0">
    <w:p w14:paraId="1EF2E08B" w14:textId="77777777" w:rsidR="00C3738F" w:rsidRDefault="00C3738F" w:rsidP="0002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DF2258"/>
    <w:multiLevelType w:val="hybridMultilevel"/>
    <w:tmpl w:val="285E5B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AF434B"/>
    <w:multiLevelType w:val="hybridMultilevel"/>
    <w:tmpl w:val="CD0A12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B658F"/>
    <w:multiLevelType w:val="hybridMultilevel"/>
    <w:tmpl w:val="DA9C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2719"/>
    <w:multiLevelType w:val="hybridMultilevel"/>
    <w:tmpl w:val="50BA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74CC"/>
    <w:multiLevelType w:val="hybridMultilevel"/>
    <w:tmpl w:val="1380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1E8"/>
    <w:multiLevelType w:val="hybridMultilevel"/>
    <w:tmpl w:val="A8A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CC557"/>
    <w:multiLevelType w:val="hybridMultilevel"/>
    <w:tmpl w:val="9AAD64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6867C9"/>
    <w:multiLevelType w:val="hybridMultilevel"/>
    <w:tmpl w:val="CBEE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3DA5"/>
    <w:multiLevelType w:val="hybridMultilevel"/>
    <w:tmpl w:val="4D88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FFC8"/>
    <w:multiLevelType w:val="hybridMultilevel"/>
    <w:tmpl w:val="41AA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F102B0"/>
    <w:multiLevelType w:val="hybridMultilevel"/>
    <w:tmpl w:val="C898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010A7"/>
    <w:multiLevelType w:val="hybridMultilevel"/>
    <w:tmpl w:val="A00306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D77AE7"/>
    <w:multiLevelType w:val="hybridMultilevel"/>
    <w:tmpl w:val="77F0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E407C"/>
    <w:multiLevelType w:val="hybridMultilevel"/>
    <w:tmpl w:val="ADAADA02"/>
    <w:lvl w:ilvl="0" w:tplc="85EE5E0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0C764D1"/>
    <w:multiLevelType w:val="hybridMultilevel"/>
    <w:tmpl w:val="D2B2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608D9"/>
    <w:multiLevelType w:val="hybridMultilevel"/>
    <w:tmpl w:val="BA38669C"/>
    <w:lvl w:ilvl="0" w:tplc="0A02496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D"/>
    <w:rsid w:val="00005C82"/>
    <w:rsid w:val="00024DAB"/>
    <w:rsid w:val="000B6606"/>
    <w:rsid w:val="000D3B6C"/>
    <w:rsid w:val="000E7357"/>
    <w:rsid w:val="001323D7"/>
    <w:rsid w:val="001F1384"/>
    <w:rsid w:val="001F49AB"/>
    <w:rsid w:val="002369B3"/>
    <w:rsid w:val="00254608"/>
    <w:rsid w:val="002D1AE5"/>
    <w:rsid w:val="002F0353"/>
    <w:rsid w:val="003279F7"/>
    <w:rsid w:val="0034632A"/>
    <w:rsid w:val="004027BF"/>
    <w:rsid w:val="004577B5"/>
    <w:rsid w:val="00473547"/>
    <w:rsid w:val="004834E5"/>
    <w:rsid w:val="00496F95"/>
    <w:rsid w:val="00501B44"/>
    <w:rsid w:val="00503F6C"/>
    <w:rsid w:val="00515144"/>
    <w:rsid w:val="00521147"/>
    <w:rsid w:val="005503D3"/>
    <w:rsid w:val="00562321"/>
    <w:rsid w:val="0056357D"/>
    <w:rsid w:val="00587338"/>
    <w:rsid w:val="005A3013"/>
    <w:rsid w:val="005A34DD"/>
    <w:rsid w:val="005B16AD"/>
    <w:rsid w:val="005D4CC4"/>
    <w:rsid w:val="005E5EB1"/>
    <w:rsid w:val="005F7CE2"/>
    <w:rsid w:val="00622692"/>
    <w:rsid w:val="00656ED1"/>
    <w:rsid w:val="006775D0"/>
    <w:rsid w:val="006813D5"/>
    <w:rsid w:val="00686E15"/>
    <w:rsid w:val="006A1700"/>
    <w:rsid w:val="006F3031"/>
    <w:rsid w:val="006F567C"/>
    <w:rsid w:val="00714DF8"/>
    <w:rsid w:val="007369ED"/>
    <w:rsid w:val="007505DB"/>
    <w:rsid w:val="00782955"/>
    <w:rsid w:val="007E7478"/>
    <w:rsid w:val="00823A84"/>
    <w:rsid w:val="008269B6"/>
    <w:rsid w:val="008325C9"/>
    <w:rsid w:val="0084001E"/>
    <w:rsid w:val="008B74D8"/>
    <w:rsid w:val="008C57BB"/>
    <w:rsid w:val="008E6391"/>
    <w:rsid w:val="00941D59"/>
    <w:rsid w:val="009800FE"/>
    <w:rsid w:val="009A4D79"/>
    <w:rsid w:val="009A704F"/>
    <w:rsid w:val="009B2546"/>
    <w:rsid w:val="009D5670"/>
    <w:rsid w:val="009D693B"/>
    <w:rsid w:val="00A506E4"/>
    <w:rsid w:val="00A92198"/>
    <w:rsid w:val="00AA73D3"/>
    <w:rsid w:val="00AF03FC"/>
    <w:rsid w:val="00AF706D"/>
    <w:rsid w:val="00B00A53"/>
    <w:rsid w:val="00B249EA"/>
    <w:rsid w:val="00B27C8C"/>
    <w:rsid w:val="00BB0786"/>
    <w:rsid w:val="00BD04B2"/>
    <w:rsid w:val="00BE67DF"/>
    <w:rsid w:val="00C06B74"/>
    <w:rsid w:val="00C3738F"/>
    <w:rsid w:val="00C637B3"/>
    <w:rsid w:val="00C64A6E"/>
    <w:rsid w:val="00CA0DD7"/>
    <w:rsid w:val="00CA47B8"/>
    <w:rsid w:val="00CE4F83"/>
    <w:rsid w:val="00D2750E"/>
    <w:rsid w:val="00D343DC"/>
    <w:rsid w:val="00D34954"/>
    <w:rsid w:val="00D40492"/>
    <w:rsid w:val="00D63DD1"/>
    <w:rsid w:val="00D900FD"/>
    <w:rsid w:val="00DA6A4B"/>
    <w:rsid w:val="00E13947"/>
    <w:rsid w:val="00E25B2D"/>
    <w:rsid w:val="00E66491"/>
    <w:rsid w:val="00E80446"/>
    <w:rsid w:val="00F334AA"/>
    <w:rsid w:val="00F4613D"/>
    <w:rsid w:val="00F5689D"/>
    <w:rsid w:val="00FC0B8D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93D7DC"/>
  <w15:docId w15:val="{447185B6-5675-4A68-8903-116CCEF0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C212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uiPriority w:val="1"/>
    <w:qFormat/>
    <w:rsid w:val="0064500A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C212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AB"/>
  </w:style>
  <w:style w:type="paragraph" w:styleId="Footer">
    <w:name w:val="footer"/>
    <w:basedOn w:val="Normal"/>
    <w:link w:val="FooterChar"/>
    <w:uiPriority w:val="99"/>
    <w:unhideWhenUsed/>
    <w:rsid w:val="0002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AB"/>
  </w:style>
  <w:style w:type="character" w:styleId="CommentReference">
    <w:name w:val="annotation reference"/>
    <w:basedOn w:val="DefaultParagraphFont"/>
    <w:uiPriority w:val="99"/>
    <w:semiHidden/>
    <w:unhideWhenUsed/>
    <w:rsid w:val="005D4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CC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34DD"/>
    <w:pPr>
      <w:ind w:left="720"/>
      <w:contextualSpacing/>
    </w:pPr>
  </w:style>
  <w:style w:type="paragraph" w:customStyle="1" w:styleId="Default">
    <w:name w:val="Default"/>
    <w:rsid w:val="004577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CD70B-EF57-48CC-B92D-F369ABFA23A7}"/>
</file>

<file path=customXml/itemProps2.xml><?xml version="1.0" encoding="utf-8"?>
<ds:datastoreItem xmlns:ds="http://schemas.openxmlformats.org/officeDocument/2006/customXml" ds:itemID="{54F56290-0551-4377-B67A-861D218424C7}"/>
</file>

<file path=customXml/itemProps3.xml><?xml version="1.0" encoding="utf-8"?>
<ds:datastoreItem xmlns:ds="http://schemas.openxmlformats.org/officeDocument/2006/customXml" ds:itemID="{6ABC4D97-01F8-42C7-88BE-CCF6E96E2722}"/>
</file>

<file path=customXml/itemProps4.xml><?xml version="1.0" encoding="utf-8"?>
<ds:datastoreItem xmlns:ds="http://schemas.openxmlformats.org/officeDocument/2006/customXml" ds:itemID="{ADBFE616-1985-454F-B913-B036EB3E3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Bachle</dc:creator>
  <dc:description/>
  <cp:lastModifiedBy>Jennifer Crouse</cp:lastModifiedBy>
  <cp:revision>7</cp:revision>
  <cp:lastPrinted>2020-09-03T13:45:00Z</cp:lastPrinted>
  <dcterms:created xsi:type="dcterms:W3CDTF">2022-02-03T10:58:00Z</dcterms:created>
  <dcterms:modified xsi:type="dcterms:W3CDTF">2022-04-12T11:48:00Z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State of Nebraska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-976262504</vt:i4>
  </property>
  <property fmtid="{D5CDD505-2E9C-101B-9397-08002B2CF9AE}" pid="10" name="_NewReviewCycle">
    <vt:lpwstr/>
  </property>
  <property fmtid="{D5CDD505-2E9C-101B-9397-08002B2CF9AE}" pid="11" name="_EmailSubject">
    <vt:lpwstr>112209 O3 Managed Care Program</vt:lpwstr>
  </property>
  <property fmtid="{D5CDD505-2E9C-101B-9397-08002B2CF9AE}" pid="12" name="_AuthorEmail">
    <vt:lpwstr>Jennifer.Crouse@nebraska.gov</vt:lpwstr>
  </property>
  <property fmtid="{D5CDD505-2E9C-101B-9397-08002B2CF9AE}" pid="13" name="_AuthorEmailDisplayName">
    <vt:lpwstr>Crouse, Jennifer</vt:lpwstr>
  </property>
  <property fmtid="{D5CDD505-2E9C-101B-9397-08002B2CF9AE}" pid="14" name="_PreviousAdHocReviewCycleID">
    <vt:i4>1191099587</vt:i4>
  </property>
  <property fmtid="{D5CDD505-2E9C-101B-9397-08002B2CF9AE}" pid="15" name="_DocHome">
    <vt:i4>-1304412942</vt:i4>
  </property>
  <property fmtid="{D5CDD505-2E9C-101B-9397-08002B2CF9AE}" pid="17" name="ContentTypeId">
    <vt:lpwstr>0x010100BAD75EA75CD83B45A34259F0B184D0270046BCFC8BEE9F164099E99F62FD0393EA</vt:lpwstr>
  </property>
  <property fmtid="{D5CDD505-2E9C-101B-9397-08002B2CF9AE}" pid="18" name="Order">
    <vt:r8>41700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TemplateUrl">
    <vt:lpwstr/>
  </property>
  <property fmtid="{D5CDD505-2E9C-101B-9397-08002B2CF9AE}" pid="24" name="ComplianceAssetId">
    <vt:lpwstr/>
  </property>
</Properties>
</file>