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2A73E" w14:textId="77777777" w:rsidR="009B09BC" w:rsidRPr="000E58AA" w:rsidRDefault="00F1459D" w:rsidP="00F1459D">
      <w:pPr>
        <w:jc w:val="center"/>
        <w:rPr>
          <w:b/>
          <w:sz w:val="28"/>
        </w:rPr>
      </w:pPr>
      <w:r w:rsidRPr="000E58AA">
        <w:rPr>
          <w:b/>
          <w:sz w:val="28"/>
        </w:rPr>
        <w:t>Cost Proposal</w:t>
      </w:r>
    </w:p>
    <w:p w14:paraId="4DFE800D" w14:textId="07F7B101" w:rsidR="000E58AA" w:rsidRPr="000E58AA" w:rsidRDefault="00F1459D" w:rsidP="00F1459D">
      <w:pPr>
        <w:jc w:val="center"/>
        <w:rPr>
          <w:b/>
          <w:sz w:val="28"/>
        </w:rPr>
      </w:pPr>
      <w:r w:rsidRPr="000E58AA">
        <w:rPr>
          <w:b/>
          <w:sz w:val="28"/>
        </w:rPr>
        <w:t xml:space="preserve">RFP </w:t>
      </w:r>
      <w:r w:rsidR="003870D7">
        <w:rPr>
          <w:b/>
          <w:sz w:val="28"/>
        </w:rPr>
        <w:t>112209 O3</w:t>
      </w:r>
      <w:bookmarkStart w:id="0" w:name="_GoBack"/>
      <w:bookmarkEnd w:id="0"/>
    </w:p>
    <w:p w14:paraId="6D80790E" w14:textId="6407E2F8" w:rsidR="00F1459D" w:rsidRPr="000E58AA" w:rsidRDefault="00F6560B" w:rsidP="00F1459D">
      <w:pPr>
        <w:jc w:val="center"/>
        <w:rPr>
          <w:b/>
          <w:sz w:val="28"/>
        </w:rPr>
      </w:pPr>
      <w:r>
        <w:rPr>
          <w:b/>
          <w:sz w:val="28"/>
        </w:rPr>
        <w:t>Fee for Service Claims Management and Processing – Optional Services</w:t>
      </w:r>
      <w:r w:rsidR="000E58AA" w:rsidRPr="000E58AA">
        <w:rPr>
          <w:b/>
          <w:sz w:val="28"/>
        </w:rPr>
        <w:t xml:space="preserve"> </w:t>
      </w:r>
    </w:p>
    <w:p w14:paraId="74B0F6D5" w14:textId="77777777" w:rsidR="00F1459D" w:rsidRDefault="00F1459D" w:rsidP="00F1459D">
      <w:pPr>
        <w:jc w:val="center"/>
      </w:pPr>
    </w:p>
    <w:p w14:paraId="43FA472F" w14:textId="7F57E768" w:rsidR="00F1459D" w:rsidRDefault="000D3CD4" w:rsidP="00F1459D">
      <w:r>
        <w:t xml:space="preserve">Bidder must provide all-inclusive pricing based </w:t>
      </w:r>
      <w:r w:rsidR="00836923">
        <w:t>on</w:t>
      </w:r>
      <w:r w:rsidR="00836923" w:rsidRPr="00836923">
        <w:t xml:space="preserve"> </w:t>
      </w:r>
      <w:r w:rsidR="00836923">
        <w:t>a per claim rate</w:t>
      </w:r>
      <w:r w:rsidR="00836923" w:rsidRPr="00836923">
        <w:t xml:space="preserve">, pharmacy claim processing at </w:t>
      </w:r>
      <w:proofErr w:type="gramStart"/>
      <w:r w:rsidR="00836923" w:rsidRPr="00836923">
        <w:t>a per</w:t>
      </w:r>
      <w:proofErr w:type="gramEnd"/>
      <w:r w:rsidR="00836923" w:rsidRPr="00836923">
        <w:t xml:space="preserve"> claim rate, and prior authorization services at a per authorization request rate. </w:t>
      </w:r>
      <w:r w:rsidR="001B171F">
        <w:t>The pricing will be the rate for the initial year of the contract and will increase two (2) percent for each remaining year of the contract, including optional renewals and extensions.</w:t>
      </w:r>
      <w:r w:rsidR="00836923" w:rsidRPr="00836923">
        <w:t xml:space="preserve"> MLTC may award this optional scope of work to one (1) of the awarded MCOs for the entire scope of work or any of the component parts.  </w:t>
      </w:r>
      <w:r w:rsidR="00836923">
        <w:t xml:space="preserve">Bidder must provide pricing </w:t>
      </w:r>
      <w:r w:rsidR="001D59B3">
        <w:t>for the initial year for each rate.</w:t>
      </w:r>
    </w:p>
    <w:p w14:paraId="2FA773D6" w14:textId="14952C86" w:rsidR="00E7736E" w:rsidRDefault="00E7736E" w:rsidP="00F1459D">
      <w:r>
        <w:t>In order to assist with obtaining the best pricing information, DHHS has provided an estimated number of claims, but does not guarantee a contractor would receive this many claims.</w:t>
      </w:r>
    </w:p>
    <w:p w14:paraId="39D9D457" w14:textId="77777777" w:rsidR="001B171F" w:rsidRDefault="001B171F" w:rsidP="00F1459D"/>
    <w:tbl>
      <w:tblPr>
        <w:tblStyle w:val="TableGrid"/>
        <w:tblW w:w="0" w:type="auto"/>
        <w:tblInd w:w="1725" w:type="dxa"/>
        <w:tblLayout w:type="fixed"/>
        <w:tblLook w:val="04A0" w:firstRow="1" w:lastRow="0" w:firstColumn="1" w:lastColumn="0" w:noHBand="0" w:noVBand="1"/>
      </w:tblPr>
      <w:tblGrid>
        <w:gridCol w:w="2016"/>
        <w:gridCol w:w="2016"/>
        <w:gridCol w:w="2016"/>
      </w:tblGrid>
      <w:tr w:rsidR="001B171F" w14:paraId="5A187710" w14:textId="659CE791" w:rsidTr="001B171F">
        <w:trPr>
          <w:trHeight w:val="548"/>
        </w:trPr>
        <w:tc>
          <w:tcPr>
            <w:tcW w:w="2016" w:type="dxa"/>
          </w:tcPr>
          <w:p w14:paraId="39947096" w14:textId="1C1AD21A" w:rsidR="001B171F" w:rsidRDefault="001B171F" w:rsidP="00F1459D">
            <w:pPr>
              <w:jc w:val="center"/>
            </w:pPr>
            <w:r>
              <w:t>Description</w:t>
            </w:r>
          </w:p>
        </w:tc>
        <w:tc>
          <w:tcPr>
            <w:tcW w:w="2016" w:type="dxa"/>
          </w:tcPr>
          <w:p w14:paraId="7389AF03" w14:textId="5CA8AD76" w:rsidR="001B171F" w:rsidRDefault="001B171F" w:rsidP="00BA6B45">
            <w:pPr>
              <w:jc w:val="center"/>
            </w:pPr>
            <w:r>
              <w:t>Estimated Claims</w:t>
            </w:r>
          </w:p>
        </w:tc>
        <w:tc>
          <w:tcPr>
            <w:tcW w:w="2016" w:type="dxa"/>
          </w:tcPr>
          <w:p w14:paraId="21445959" w14:textId="77777777" w:rsidR="001B171F" w:rsidRDefault="001B171F" w:rsidP="00BA6B45">
            <w:pPr>
              <w:jc w:val="center"/>
            </w:pPr>
            <w:r>
              <w:t>Pricing for</w:t>
            </w:r>
          </w:p>
          <w:p w14:paraId="2BB2EC5D" w14:textId="40EB6311" w:rsidR="001B171F" w:rsidRDefault="001B171F" w:rsidP="00BA6B45">
            <w:pPr>
              <w:jc w:val="center"/>
            </w:pPr>
            <w:r>
              <w:t>Initial</w:t>
            </w:r>
          </w:p>
          <w:p w14:paraId="4F6C9EE9" w14:textId="7CCBD021" w:rsidR="001B171F" w:rsidRDefault="001B171F" w:rsidP="00F1459D">
            <w:pPr>
              <w:jc w:val="center"/>
            </w:pPr>
            <w:r>
              <w:t>Year</w:t>
            </w:r>
          </w:p>
        </w:tc>
      </w:tr>
      <w:tr w:rsidR="001B171F" w14:paraId="7E9F4105" w14:textId="77777777" w:rsidTr="001B171F">
        <w:trPr>
          <w:trHeight w:val="593"/>
        </w:trPr>
        <w:tc>
          <w:tcPr>
            <w:tcW w:w="2016" w:type="dxa"/>
          </w:tcPr>
          <w:p w14:paraId="2267BE8E" w14:textId="6490F56D" w:rsidR="001B171F" w:rsidRDefault="001B171F" w:rsidP="00F1459D">
            <w:pPr>
              <w:jc w:val="center"/>
            </w:pPr>
            <w:r>
              <w:t>Per Claim Rate (physical health, behavioral health, and dental services)</w:t>
            </w:r>
          </w:p>
        </w:tc>
        <w:tc>
          <w:tcPr>
            <w:tcW w:w="2016" w:type="dxa"/>
          </w:tcPr>
          <w:p w14:paraId="3190BABA" w14:textId="425041FD" w:rsidR="001B171F" w:rsidRDefault="001B171F" w:rsidP="00F1459D">
            <w:pPr>
              <w:jc w:val="center"/>
            </w:pPr>
            <w:r>
              <w:t>220,000</w:t>
            </w:r>
          </w:p>
        </w:tc>
        <w:tc>
          <w:tcPr>
            <w:tcW w:w="2016" w:type="dxa"/>
          </w:tcPr>
          <w:p w14:paraId="166A62C2" w14:textId="77777777" w:rsidR="001B171F" w:rsidRDefault="001B171F" w:rsidP="00F1459D">
            <w:pPr>
              <w:jc w:val="center"/>
            </w:pPr>
          </w:p>
        </w:tc>
      </w:tr>
      <w:tr w:rsidR="001B171F" w14:paraId="7E58ECD5" w14:textId="77777777" w:rsidTr="001B171F">
        <w:trPr>
          <w:trHeight w:val="593"/>
        </w:trPr>
        <w:tc>
          <w:tcPr>
            <w:tcW w:w="2016" w:type="dxa"/>
          </w:tcPr>
          <w:p w14:paraId="4CD81D39" w14:textId="31721DA7" w:rsidR="001B171F" w:rsidRDefault="001B171F" w:rsidP="00F1459D">
            <w:pPr>
              <w:jc w:val="center"/>
            </w:pPr>
            <w:r>
              <w:t>Pharmacy Claim Processing at a Per Claim R</w:t>
            </w:r>
            <w:r w:rsidRPr="00BA6B45">
              <w:t>ate</w:t>
            </w:r>
          </w:p>
        </w:tc>
        <w:tc>
          <w:tcPr>
            <w:tcW w:w="2016" w:type="dxa"/>
          </w:tcPr>
          <w:p w14:paraId="19E5FCAF" w14:textId="61620DD5" w:rsidR="001B171F" w:rsidRDefault="001B171F" w:rsidP="00F1459D">
            <w:pPr>
              <w:jc w:val="center"/>
            </w:pPr>
            <w:r>
              <w:t>78,000</w:t>
            </w:r>
          </w:p>
        </w:tc>
        <w:tc>
          <w:tcPr>
            <w:tcW w:w="2016" w:type="dxa"/>
          </w:tcPr>
          <w:p w14:paraId="4DE819E2" w14:textId="77777777" w:rsidR="001B171F" w:rsidRDefault="001B171F" w:rsidP="00F1459D">
            <w:pPr>
              <w:jc w:val="center"/>
            </w:pPr>
          </w:p>
        </w:tc>
      </w:tr>
      <w:tr w:rsidR="001B171F" w14:paraId="0597B36C" w14:textId="77777777" w:rsidTr="001B171F">
        <w:trPr>
          <w:trHeight w:val="593"/>
        </w:trPr>
        <w:tc>
          <w:tcPr>
            <w:tcW w:w="2016" w:type="dxa"/>
          </w:tcPr>
          <w:p w14:paraId="413A3C31" w14:textId="30F5BFF3" w:rsidR="001B171F" w:rsidRDefault="001B171F" w:rsidP="00F1459D">
            <w:pPr>
              <w:jc w:val="center"/>
            </w:pPr>
            <w:r>
              <w:t>Per Authorization Request Rate</w:t>
            </w:r>
          </w:p>
        </w:tc>
        <w:tc>
          <w:tcPr>
            <w:tcW w:w="2016" w:type="dxa"/>
          </w:tcPr>
          <w:p w14:paraId="7223EBCE" w14:textId="0CA546A6" w:rsidR="001B171F" w:rsidRDefault="001B171F" w:rsidP="00F1459D">
            <w:pPr>
              <w:jc w:val="center"/>
            </w:pPr>
            <w:r>
              <w:t>3,200</w:t>
            </w:r>
          </w:p>
        </w:tc>
        <w:tc>
          <w:tcPr>
            <w:tcW w:w="2016" w:type="dxa"/>
          </w:tcPr>
          <w:p w14:paraId="59550383" w14:textId="77777777" w:rsidR="001B171F" w:rsidRDefault="001B171F" w:rsidP="00F1459D">
            <w:pPr>
              <w:jc w:val="center"/>
            </w:pPr>
          </w:p>
        </w:tc>
      </w:tr>
    </w:tbl>
    <w:p w14:paraId="79C0D913" w14:textId="77777777" w:rsidR="00F1459D" w:rsidRDefault="00F1459D" w:rsidP="00F1459D">
      <w:pPr>
        <w:jc w:val="center"/>
      </w:pPr>
    </w:p>
    <w:p w14:paraId="765496CD" w14:textId="77777777" w:rsidR="00F1459D" w:rsidRDefault="00F1459D" w:rsidP="00F1459D">
      <w:pPr>
        <w:jc w:val="center"/>
      </w:pPr>
    </w:p>
    <w:sectPr w:rsidR="00F1459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4C1" w16cex:dateUtc="2022-04-06T20:48:00Z"/>
  <w16cex:commentExtensible w16cex:durableId="25F83516" w16cex:dateUtc="2022-04-06T20:49:00Z"/>
  <w16cex:commentExtensible w16cex:durableId="25F83529" w16cex:dateUtc="2022-04-06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EA178" w16cid:durableId="25F834C1"/>
  <w16cid:commentId w16cid:paraId="75C1CAA2" w16cid:durableId="25F83516"/>
  <w16cid:commentId w16cid:paraId="355ADD7E" w16cid:durableId="25F835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9D"/>
    <w:rsid w:val="00024417"/>
    <w:rsid w:val="000821B4"/>
    <w:rsid w:val="000D3CD4"/>
    <w:rsid w:val="000E58AA"/>
    <w:rsid w:val="00122C54"/>
    <w:rsid w:val="001959A0"/>
    <w:rsid w:val="001B171F"/>
    <w:rsid w:val="001D59B3"/>
    <w:rsid w:val="001D6A56"/>
    <w:rsid w:val="002B6EE9"/>
    <w:rsid w:val="002C4CC5"/>
    <w:rsid w:val="002D76BF"/>
    <w:rsid w:val="003761F7"/>
    <w:rsid w:val="0038001B"/>
    <w:rsid w:val="003870D7"/>
    <w:rsid w:val="003A772E"/>
    <w:rsid w:val="004303CB"/>
    <w:rsid w:val="00444DCC"/>
    <w:rsid w:val="00513FFD"/>
    <w:rsid w:val="005C0CF0"/>
    <w:rsid w:val="005C5423"/>
    <w:rsid w:val="007D255E"/>
    <w:rsid w:val="00836923"/>
    <w:rsid w:val="009B09BC"/>
    <w:rsid w:val="009B51E2"/>
    <w:rsid w:val="009D1234"/>
    <w:rsid w:val="00AE4163"/>
    <w:rsid w:val="00B414B3"/>
    <w:rsid w:val="00BA6B45"/>
    <w:rsid w:val="00D61A1E"/>
    <w:rsid w:val="00E7736E"/>
    <w:rsid w:val="00E84D46"/>
    <w:rsid w:val="00E9353E"/>
    <w:rsid w:val="00F1459D"/>
    <w:rsid w:val="00F6560B"/>
    <w:rsid w:val="00FC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AA24"/>
  <w15:chartTrackingRefBased/>
  <w15:docId w15:val="{3560FB78-5B3B-488E-B72B-C28EBA19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B7D"/>
    <w:rPr>
      <w:sz w:val="16"/>
      <w:szCs w:val="16"/>
    </w:rPr>
  </w:style>
  <w:style w:type="paragraph" w:styleId="CommentText">
    <w:name w:val="annotation text"/>
    <w:basedOn w:val="Normal"/>
    <w:link w:val="CommentTextChar"/>
    <w:uiPriority w:val="99"/>
    <w:semiHidden/>
    <w:unhideWhenUsed/>
    <w:rsid w:val="00FC4B7D"/>
    <w:pPr>
      <w:spacing w:line="240" w:lineRule="auto"/>
    </w:pPr>
    <w:rPr>
      <w:sz w:val="20"/>
      <w:szCs w:val="20"/>
    </w:rPr>
  </w:style>
  <w:style w:type="character" w:customStyle="1" w:styleId="CommentTextChar">
    <w:name w:val="Comment Text Char"/>
    <w:basedOn w:val="DefaultParagraphFont"/>
    <w:link w:val="CommentText"/>
    <w:uiPriority w:val="99"/>
    <w:semiHidden/>
    <w:rsid w:val="00FC4B7D"/>
    <w:rPr>
      <w:sz w:val="20"/>
      <w:szCs w:val="20"/>
    </w:rPr>
  </w:style>
  <w:style w:type="paragraph" w:styleId="CommentSubject">
    <w:name w:val="annotation subject"/>
    <w:basedOn w:val="CommentText"/>
    <w:next w:val="CommentText"/>
    <w:link w:val="CommentSubjectChar"/>
    <w:uiPriority w:val="99"/>
    <w:semiHidden/>
    <w:unhideWhenUsed/>
    <w:rsid w:val="00FC4B7D"/>
    <w:rPr>
      <w:b/>
      <w:bCs/>
    </w:rPr>
  </w:style>
  <w:style w:type="character" w:customStyle="1" w:styleId="CommentSubjectChar">
    <w:name w:val="Comment Subject Char"/>
    <w:basedOn w:val="CommentTextChar"/>
    <w:link w:val="CommentSubject"/>
    <w:uiPriority w:val="99"/>
    <w:semiHidden/>
    <w:rsid w:val="00FC4B7D"/>
    <w:rPr>
      <w:b/>
      <w:bCs/>
      <w:sz w:val="20"/>
      <w:szCs w:val="20"/>
    </w:rPr>
  </w:style>
  <w:style w:type="paragraph" w:styleId="BalloonText">
    <w:name w:val="Balloon Text"/>
    <w:basedOn w:val="Normal"/>
    <w:link w:val="BalloonTextChar"/>
    <w:uiPriority w:val="99"/>
    <w:semiHidden/>
    <w:unhideWhenUsed/>
    <w:rsid w:val="00FC4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F0F91668-3002-41AC-B5B5-5B464587576B}"/>
</file>

<file path=customXml/itemProps2.xml><?xml version="1.0" encoding="utf-8"?>
<ds:datastoreItem xmlns:ds="http://schemas.openxmlformats.org/officeDocument/2006/customXml" ds:itemID="{AC353423-55F3-4E36-8436-4AA05FEB204D}"/>
</file>

<file path=customXml/itemProps3.xml><?xml version="1.0" encoding="utf-8"?>
<ds:datastoreItem xmlns:ds="http://schemas.openxmlformats.org/officeDocument/2006/customXml" ds:itemID="{5927E08C-E8FD-4119-9192-5B0849847C92}"/>
</file>

<file path=docProps/app.xml><?xml version="1.0" encoding="utf-8"?>
<Properties xmlns="http://schemas.openxmlformats.org/officeDocument/2006/extended-properties" xmlns:vt="http://schemas.openxmlformats.org/officeDocument/2006/docPropsVTypes">
  <Template>Normal</Template>
  <TotalTime>45</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Glasgow</dc:creator>
  <cp:keywords/>
  <dc:description/>
  <cp:lastModifiedBy>Jennifer Crouse</cp:lastModifiedBy>
  <cp:revision>13</cp:revision>
  <dcterms:created xsi:type="dcterms:W3CDTF">2022-03-24T14:39:00Z</dcterms:created>
  <dcterms:modified xsi:type="dcterms:W3CDTF">2022-04-12T11:59:00Z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ocset_NoMedatataSyncRequired">
    <vt:lpwstr>False</vt:lpwstr>
  </property>
  <property fmtid="{D5CDD505-2E9C-101B-9397-08002B2CF9AE}" pid="4" name="_NewReviewCycle">
    <vt:lpwstr/>
  </property>
  <property fmtid="{D5CDD505-2E9C-101B-9397-08002B2CF9AE}" pid="5" name="_AdHocReviewCycleID">
    <vt:i4>-277166780</vt:i4>
  </property>
  <property fmtid="{D5CDD505-2E9C-101B-9397-08002B2CF9AE}" pid="6" name="_EmailSubject">
    <vt:lpwstr>112209 O3 Managed Care Program</vt:lpwstr>
  </property>
  <property fmtid="{D5CDD505-2E9C-101B-9397-08002B2CF9AE}" pid="7" name="_AuthorEmail">
    <vt:lpwstr>Jennifer.Crouse@nebraska.gov</vt:lpwstr>
  </property>
  <property fmtid="{D5CDD505-2E9C-101B-9397-08002B2CF9AE}" pid="8" name="_AuthorEmailDisplayName">
    <vt:lpwstr>Crouse, Jennifer</vt:lpwstr>
  </property>
  <property fmtid="{D5CDD505-2E9C-101B-9397-08002B2CF9AE}" pid="9" name="_PreviousAdHocReviewCycleID">
    <vt:i4>1814002933</vt:i4>
  </property>
  <property fmtid="{D5CDD505-2E9C-101B-9397-08002B2CF9AE}" pid="10" name="Order">
    <vt:r8>44500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ComplianceAssetId">
    <vt:lpwstr/>
  </property>
</Properties>
</file>